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07" w:rsidRDefault="006E760E" w:rsidP="006E760E">
      <w:pPr>
        <w:jc w:val="both"/>
        <w:rPr>
          <w:sz w:val="20"/>
          <w:szCs w:val="20"/>
        </w:rPr>
      </w:pPr>
      <w:r>
        <w:rPr>
          <w:sz w:val="20"/>
          <w:szCs w:val="20"/>
        </w:rPr>
        <w:t>АНАЛИЗ</w:t>
      </w:r>
    </w:p>
    <w:p w:rsidR="006E760E" w:rsidRDefault="006E760E" w:rsidP="006E76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Обоснования принятия Закона Республики Беларусь «О несостоятельности и банкротстве», </w:t>
      </w:r>
    </w:p>
    <w:p w:rsidR="006E760E" w:rsidRDefault="006E760E" w:rsidP="006E760E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представленный Министерством экономики Республики Беларусь по состоянию на 2</w:t>
      </w:r>
      <w:r w:rsidR="00600F2A">
        <w:rPr>
          <w:sz w:val="20"/>
          <w:szCs w:val="20"/>
        </w:rPr>
        <w:t>6</w:t>
      </w:r>
      <w:r>
        <w:rPr>
          <w:sz w:val="20"/>
          <w:szCs w:val="20"/>
        </w:rPr>
        <w:t>.10.2018года,</w:t>
      </w:r>
    </w:p>
    <w:p w:rsidR="006E760E" w:rsidRDefault="006E760E" w:rsidP="006E760E">
      <w:pPr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961"/>
        <w:gridCol w:w="9639"/>
      </w:tblGrid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 xml:space="preserve">Цитата из обоснования 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>Возражения и замечания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«Однако в связи с тем, что количество вносимых в действующую редакцию Закона Республики Беларусь «Об экономической несостоятельности (банкротстве)» изменений и дополнений составляет более половины текста, а также в связи с тем, что внесение отдельных изменений и дополнений оказалось технически сложно для изложения и восприятия, разработан новый проект с привлечением экспертов Национального банка, Верховного Суда, а также общественных объединений «Ассоциация по антикризисному управлению и банкротству» и «Белорусский республиканский союз юристов» в рамках специально созданной рабочей группы»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При подготовке проекта нарушены положения Ч.8 п.5.1. </w:t>
            </w:r>
            <w:bookmarkStart w:id="0" w:name="CN__заг_утв_1"/>
            <w:bookmarkEnd w:id="0"/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рограммы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br/>
              <w:t>социально-экономического развития Республики Беларусь на 2016–2020 годы, «…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Предусматривается, что ключевые решения в экономической сфере будут разрабатываться и приниматься только после консультаций с бизнес-сообществом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>».</w:t>
            </w:r>
          </w:p>
          <w:p w:rsidR="006E760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Проект Закона не был доступен для публичного обсуждения (в том числе по состоянию на 26.10.2018) и не выносился на обсуждение с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>бизнес-сообществом</w:t>
            </w:r>
            <w:r w:rsidRPr="001C633E">
              <w:rPr>
                <w:sz w:val="20"/>
                <w:szCs w:val="20"/>
              </w:rPr>
              <w:t xml:space="preserve">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Кроме этого, не была представлена официальная позиция экспертов Национального банка, Верховного Суда, а также общественных объединений «Ассоциация по антикризисному управлению и банкротству» и «Белорусский республиканский союз юристов».</w:t>
            </w:r>
          </w:p>
          <w:p w:rsidR="006E760E" w:rsidRPr="001C633E" w:rsidRDefault="006E760E" w:rsidP="006E760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На сегодняшний день идет неформальное обсуждение Проекта закона с полным отсутствием понимания аспектов судебной и правоприменительной практики.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C633E">
              <w:rPr>
                <w:rFonts w:ascii="Times New Roman" w:hAnsi="Times New Roman"/>
              </w:rPr>
              <w:t>«Кроме того, проект содержит ряд новелл, существенно изменяющих существующую систему правого регулирования правоотношений в сфере экономической несостоятельности (банкротства):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установлены новые основания для подачи заявления должника о своей несостоятельности или банкротстве, основанные на принципе неоплатности;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закреплена возможность подачи должником встречного заявления о несостоятельности в случае, когда кредитором подано заявление о банкротстве должника;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введен механизм самоуправления управляющих;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усилена роль управляющих в принятии решений, необходимых для проведения санации или ликвидации;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установлен приоритет требований кредиторов, обеспеченных залогом имущества;</w:t>
            </w:r>
          </w:p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созданы условия для реализации имущества на электронных аукционах».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Нормы, предусматривающие введение механизма самоуправления управляющих, не формируют последовательность действий в сфере государственного регулирования, не обеспечивает приоритет государственной политики, а также синхронизацию с задачами и целями социально-экономического развития страны.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При отсутствии анализа правоприменительной практики деятельности управляющих невозможно говорить о введении саморегулирования. Не сформирована институциональная среда, что может привести к серьезным экономическим последствиям и заранее дискредитировать институт Палаты управляющих.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Из Проекта закона не усматривается каким образом будет усилена роль управляющих в принятии решений, необходимых для проведения санации или ликвидации.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  <w:highlight w:val="yellow"/>
              </w:rPr>
            </w:pPr>
            <w:r w:rsidRPr="001C633E">
              <w:rPr>
                <w:sz w:val="20"/>
                <w:szCs w:val="20"/>
              </w:rPr>
              <w:t>«В целом, нормы проекта направлены на разрешение следующих основных проблемных вопросов, необходимость урегулирования которых вызвана сложившейся экономической ситуацией: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стимулирование к добровольному и своевременному объявлению субъектами хозяйствования своей несостоятельности для того, чтобы не упустить возможность сохранения бизнеса и восстановления платежеспособности;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гарантии возврата инвестиций</w:t>
            </w:r>
            <w:r w:rsidRPr="001C633E">
              <w:rPr>
                <w:sz w:val="20"/>
                <w:szCs w:val="20"/>
              </w:rPr>
              <w:t>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упрощение реализации имущества в целях более быстрого и полного удовлетворения требований кредиторов;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совершенствование системы вознаграждения управляющего;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улучшение позиции Республики Беларусь в рейтинге Всемирного банка «Ведение бизнеса» по показателю «Разрешение неплатежеспособности»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Нормы Проекта закона не определяют гарантии возврата инвестиций. Наоборот, исключение их Проекта закона нормы, предусматривающей субсидиарную ответственность за несвоевременную подачу заявления должника о банкротстве влечет за собой ухудшение прав кредиторов, так как должник, не имея активов для погашения задолженности, продолжает деятельность, наращивая долги.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В Проекте закона отсутствуют нормы, направленные на стимулирование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антикризисных управляющих к санации предприятий, а также оперативному и эффективному проведению процедур банкротства через усиление зависимости их вознаграждения от результатов деятельности, что противоречит п.7 </w:t>
            </w:r>
            <w:bookmarkStart w:id="1" w:name="CN__заг_прил"/>
            <w:bookmarkEnd w:id="1"/>
            <w:r w:rsidRPr="001C633E"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МЕР по реализации Программы социально-экономического развития Республики Беларусь на 2016–2020 годы, выполненные в 2016 году», утверждённых Постановлением СМ РБ 12.01.2017 №18 (данная норма должны быть отражена в Проекте закона). Отсутствие четкой нормы о выплате вознаграждения управляющему непосредственно в законе содержит коррупционные риски.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Не определено каким образом предлагаемые изменения повлекут за собой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C633E">
              <w:rPr>
                <w:i/>
                <w:sz w:val="20"/>
                <w:szCs w:val="20"/>
              </w:rPr>
              <w:t>улучшение позиции Республики Беларусь в рейтинге Всемирного банка «Ведение бизнеса» по показателю «Разрешение неплатежеспособности»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pStyle w:val="ConsPlusNormal"/>
              <w:widowControl/>
              <w:ind w:firstLine="0"/>
              <w:jc w:val="both"/>
            </w:pPr>
            <w:r w:rsidRPr="001C633E">
              <w:t xml:space="preserve"> </w:t>
            </w:r>
            <w:r w:rsidRPr="001C633E">
              <w:t>«…</w:t>
            </w:r>
            <w:proofErr w:type="gramStart"/>
            <w:r w:rsidRPr="001C633E">
              <w:rPr>
                <w:rFonts w:ascii="Times New Roman" w:hAnsi="Times New Roman"/>
              </w:rPr>
              <w:t>7. ….</w:t>
            </w:r>
            <w:proofErr w:type="gramEnd"/>
            <w:r w:rsidRPr="001C633E">
              <w:rPr>
                <w:rFonts w:ascii="Times New Roman" w:hAnsi="Times New Roman"/>
                <w:b/>
                <w:i/>
              </w:rPr>
              <w:t>Срок защитного периода сокращен до одного месяца (достаточный для проверки управляющим обоснованности доводов лиц, подавших заявление о несостоятельности или банкротстве). Конкурсное производство подлежит безусловному открытию, если управляющим сделан вывод о правомерности этих доводов. Отказ в открытии конкурсного производства возможен только при наличии вывода управляющего о возможности исполнения должником своих обязательств</w:t>
            </w:r>
            <w:r w:rsidRPr="001C633E">
              <w:rPr>
                <w:rFonts w:ascii="Times New Roman" w:hAnsi="Times New Roman"/>
              </w:rPr>
              <w:t>».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Установленные в Проекте закона максимальный срок защитного периода (один месяц) не позволит обеспечить достоверность и объективность предоставляемой суду управляющим информации. Для подтверждени</w:t>
            </w:r>
            <w:r>
              <w:rPr>
                <w:sz w:val="20"/>
                <w:szCs w:val="20"/>
              </w:rPr>
              <w:t xml:space="preserve">я </w:t>
            </w:r>
            <w:r w:rsidRPr="001C633E">
              <w:rPr>
                <w:sz w:val="20"/>
                <w:szCs w:val="20"/>
              </w:rPr>
              <w:t>достоверности сведений, представленных должником суду при подаче заявления, необходимо провести, как это предусмотрено и в самом Проекте закона, инвентаризацию активов и пассивов должника. Установленного максимального срока защитного периода в большинстве случаев недостаточно для проведения вышеуказанных действий.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Невозможность в ряде случаев проведения инвентаризации в течение одного месяца влечет за собой риск получения управляющим недостоверной информации.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Следовательно, сокращение срока защитного периода влечет за собой риск, так называемых, рейдерских захватов, развитию «серых» и «криминальных» схем деятельности бизнеса (по опыту РФ).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shd w:val="clear" w:color="auto" w:fill="FFFFFF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«…11. </w:t>
            </w:r>
            <w:r w:rsidRPr="001C633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Введение в рамках реализации программных документов СЭР до 2020 года </w:t>
            </w:r>
            <w:r w:rsidRPr="001C633E">
              <w:rPr>
                <w:b/>
                <w:i/>
                <w:sz w:val="20"/>
                <w:szCs w:val="20"/>
              </w:rPr>
              <w:t xml:space="preserve">института самоуправления </w:t>
            </w:r>
            <w:r w:rsidRPr="001C633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деятельности кризис-менеджеров </w:t>
            </w:r>
            <w:r w:rsidRPr="001C633E">
              <w:rPr>
                <w:b/>
                <w:i/>
                <w:sz w:val="20"/>
                <w:szCs w:val="20"/>
              </w:rPr>
              <w:t>в виде обязательного членства в Белорусской палате антикризисных управляющих:</w:t>
            </w:r>
          </w:p>
          <w:p w:rsidR="006E760E" w:rsidRPr="001C633E" w:rsidRDefault="006E760E" w:rsidP="006E760E">
            <w:pPr>
              <w:shd w:val="clear" w:color="auto" w:fill="FFFFFF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создающего возможности для регулирования профессиональной деятельности самими субъектами этой деятельности посред</w:t>
            </w:r>
            <w:r w:rsidRPr="001C633E">
              <w:rPr>
                <w:b/>
                <w:i/>
                <w:spacing w:val="-1"/>
                <w:sz w:val="20"/>
                <w:szCs w:val="20"/>
              </w:rPr>
              <w:t>ством разработки и принятия обязательных для соблюдения стандартов</w:t>
            </w:r>
            <w:r w:rsidRPr="001C633E">
              <w:rPr>
                <w:b/>
                <w:i/>
                <w:sz w:val="20"/>
                <w:szCs w:val="20"/>
              </w:rPr>
              <w:t>, организации общественного</w:t>
            </w:r>
            <w:r w:rsidRPr="001C633E">
              <w:rPr>
                <w:b/>
                <w:i/>
                <w:spacing w:val="-1"/>
                <w:sz w:val="20"/>
                <w:szCs w:val="20"/>
              </w:rPr>
              <w:t xml:space="preserve"> контроля за соблюдением этих правил и </w:t>
            </w:r>
            <w:proofErr w:type="gramStart"/>
            <w:r w:rsidRPr="001C633E">
              <w:rPr>
                <w:b/>
                <w:i/>
                <w:spacing w:val="-1"/>
                <w:sz w:val="20"/>
                <w:szCs w:val="20"/>
              </w:rPr>
              <w:t>законодательства</w:t>
            </w:r>
            <w:proofErr w:type="gramEnd"/>
            <w:r w:rsidRPr="001C633E">
              <w:rPr>
                <w:b/>
                <w:i/>
                <w:spacing w:val="-1"/>
                <w:sz w:val="20"/>
                <w:szCs w:val="20"/>
              </w:rPr>
              <w:t xml:space="preserve"> и приме</w:t>
            </w:r>
            <w:r w:rsidRPr="001C633E">
              <w:rPr>
                <w:b/>
                <w:i/>
                <w:sz w:val="20"/>
                <w:szCs w:val="20"/>
              </w:rPr>
              <w:t>нения санкций за их нарушения;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упрощающего и удешевляющего механизмы разрешения споров по сравнению с судебным разбирательством, в том числе в рамках третейского суда при Палате, обеспечивающего экономию бюджетных средств, затрачиваемых государственным аппаратом на регулирование и контроль;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позволяющего задействовать оценку деловой репутации (гудвилл) самим профессиональным сообществом;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обеспечивающего дополнительно, сверх предусмотренного законодательством о страховании, возмещения ущерба кредиторам, причиненного виновными действиями членов Палаты (контроль «рублем»), механизмы исключения и наказания членов профессионального сообщества».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П. 10 и п.110 КОМПЛЕКСА МЕР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br/>
              <w:t xml:space="preserve">по реализации Программы социально-экономического развития Республики Беларусь на 2016–2020 годы предусмотрено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«Сокращение количества лицензируемых видов деятельности и составляющих виды деятельности работ и (или) услуг, а также видов деятельности, подлежащих обязательной аттестации (сертификации, регистрации) по решению государственных органов, в том числе </w:t>
            </w:r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>посредством передачи соответствующих функций саморегулируемым организациям субъектов предпринимательской деятельности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» и «Проработка вопросов развития законодательного регулирования деятельности саморегулируемых организаций. Определение потенциала </w:t>
            </w:r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освобождения государственных органов от избыточных и </w:t>
            </w:r>
            <w:proofErr w:type="gramStart"/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>несвойственных им функций с учетом специфики</w:t>
            </w:r>
            <w:proofErr w:type="gramEnd"/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и развития экономических отношений в конкретных сферах деятельности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». Проектом закона не предусмотрена 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 xml:space="preserve">передача государственными органами соответствующих функций саморегулируемым организациям субъектов предпринимательской деятельности, с целью освобождения государственных органов от избыточных и </w:t>
            </w:r>
            <w:proofErr w:type="gramStart"/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несвойственных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им функций с учетом специфики</w:t>
            </w:r>
            <w:proofErr w:type="gramEnd"/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 xml:space="preserve"> и развития экономических отношений в конкретных сферах деятельности.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В Проекте закона количество функций государственного органа не уменьшено. То есть создание Палаты управляющих не направлено на достижение целей, указанных выше.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Исходя из Проекта закона, основная цель создания Палаты – защита интересов управляющих.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Не отрицая фактор саморегули</w:t>
            </w:r>
            <w:r>
              <w:rPr>
                <w:rFonts w:cs="Times New Roman"/>
                <w:color w:val="000000"/>
                <w:sz w:val="20"/>
                <w:szCs w:val="20"/>
              </w:rPr>
              <w:t>рования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, в настоящее время невозможно пойти на создание Палаты из-за высоких коррупционных рисков.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Законопроект в части создания Палаты не формирует последовательность действий в сфере государственного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>регулирования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, не обеспечивает приоритет государственной политики, а также синхронизацию с задачами и целями социально-экономического развития страны.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Из Проекта закона не следует каким образом будет обеспечена всесторонняя прозрачность и открытость процессуальных действий всех лиц, участвующих в деле.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Наличие лишь одного саморегулирующего органа (Палаты) лишает управляющего своей независимости, так как он не может голосовать «ногами».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Управляющие на сегодняшний день составляют неоднородную среду (там существует монополизм и пул). Не проводилось анкетирование и опросы среди управляющих по поводу создания Палаты.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Состав Палаты может быть в количестве десяти ключевых игроков (пула) с правилами «картельного сговора» и координации профессиональных интересов.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Довод о требованиях зарубежных организаций в создании Палаты нельзя признать обоснованными, так как в различных странах имеется различная практика.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Например, в Великобритании – ты можешь быть управляющим, являясь членом саморегулируемой организации либо ты должен получить лицензию. В большинстве стран имеется несколько саморегулируемых организаций. И государственный орган выбирает одну организацию или несколько и делегирует им функции и полномочия. В РФ существует более 50 саморегулируемых организаций с численностью не менее ста человек. Также не во всех странах членство в саморегулируемой организации является обязательным.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В обосновании отсутствуют указание на то, каким образом создание Палаты повлечет за собой </w:t>
            </w: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упрощение и удешевление механизмов разрешения споров по сравнению с судебным разбирательством и экономию бюджетных средств. Наоборот, для лиц, участвующих в деле, увеличиваются расходы на обязательное рассмотрение споров Палатой (привлечение, например, адвокатов).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Учитывая то, что кандидатура управляющего определяется методом случайной выборки, не указано на что может влиять оценка деловой репутации профессиональным сообществом конкретного управляющего.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Не обосновано экономически возмещение ущерба, причиненного виновными действиями члена Палаты за счет компенсационного фонда.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В проекте указано, что размер компенсационной выплаты из компенсационного фонда не может превышать 2500базовых величин по требованию о компенсационной выплате применительно к одному случаю ущерба. Данная сумма является столь незначительной, что каждый управляющий только за счет взносов в Палату может обеспечить дополнительное страхование по делам о банкротстве.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В настоящее время уже дополнительно страхуют свою деятельность.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Статистические данные, свидетельствующие о размерах взысканных с управляющих сумм причиненного ущерба, отсутствуют.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C633E">
              <w:rPr>
                <w:rFonts w:ascii="Times New Roman" w:hAnsi="Times New Roman"/>
              </w:rPr>
              <w:t>«…18. В целях единства персонификации прав, обязанностей и ответственности, а также независимости от лиц, участвующих в деле, осуществление управляющими деятельности исключительно как физическими лицами-индивидуальными предпринимателями…»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6E760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Исключение юридических лиц из числа лиц, имеющих право осуществлять деятельность в качестве антикризисных управляющих, с учётом норм действующего законодательства об ограничении числа работников у ИП (не более 3-х человек) является нецелесообразным. </w:t>
            </w:r>
          </w:p>
          <w:p w:rsidR="006E760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Практика свидетельствует о том, что в стране мало предприятий, должников, в отношении которых вводится санация. И одна из причин отсутствия положительного эффекта от проведения санации – отсутствие квалифицированной команды у антикризисного управляющего.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Исключение юридических лиц из числа лиц, имеющих право осуществлять деятельность в качестве антикризисного управляющего, обусловлено тем, что в случае лишения аттестата руководителя юридического лица – антикризисного управляющего назначается новый руководитель, имеющий аттестат, и юридическое лицо продолжает осуществлять свои обязанности. Но это не может являться достаточным аргументом.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 суда и кредиторов есть право принимать решение, если управляющий ненадлежащим образом осуществляет свои обязанности и его действия влекут за собой причинение вреда интересам кредиторов и должника (но не руководителю и участникам должника), об отстранении управляющего от исполнения обязанностей. Такая мера более действенна, чем исключать из закона норму об исполнении обязанностей управляющего юридическим лицом. Опыт России свидетельствует о том, что антикризисные управляющие – физические лица в большинстве случаев не способны проводить процедуру, направленную на восстановление платежеспособности должника из-за отсутствия квалифицированной команды у управляющего.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Уточнение в части понятия санации путем добавления слов «юридического лица» является корректным.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Более того, исключение юридических лиц может привести к сокращению рабочих мест, что противоречит Программе социально-экономического развития на 2016-2020г.г.</w:t>
            </w:r>
          </w:p>
          <w:p w:rsidR="00600F2A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В обосновании </w:t>
            </w:r>
            <w:r w:rsidRPr="001C633E">
              <w:rPr>
                <w:sz w:val="20"/>
                <w:szCs w:val="20"/>
              </w:rPr>
              <w:t>отсутствует</w:t>
            </w:r>
            <w:r w:rsidRPr="001C633E">
              <w:rPr>
                <w:sz w:val="20"/>
                <w:szCs w:val="20"/>
              </w:rPr>
              <w:t xml:space="preserve"> указание на то, каким образом будет обеспечена независимость управляющих –индивидуальных предпринимателей от лиц, участвующих в деле.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Наоборот, норма направлена на зависимость, так как аннулирование аттестата управляющему-индивидуальному предпринимателю влечет невозможность исполнения им обязанностей в делах, что влечет за собой зависимость от лиц, участвующих в деле. Статистические данные, из которых можно сделать вывод, что юридические лица допускают при осуществлении деятельности больше нарушений, чем индивидуальные предприниматели, отсутствуют.</w:t>
            </w:r>
            <w:bookmarkStart w:id="2" w:name="_GoBack"/>
            <w:bookmarkEnd w:id="2"/>
          </w:p>
        </w:tc>
      </w:tr>
    </w:tbl>
    <w:p w:rsidR="006E760E" w:rsidRDefault="006E760E" w:rsidP="006E760E">
      <w:pPr>
        <w:jc w:val="both"/>
        <w:rPr>
          <w:sz w:val="20"/>
          <w:szCs w:val="20"/>
        </w:rPr>
      </w:pPr>
    </w:p>
    <w:p w:rsidR="006E760E" w:rsidRDefault="006E760E" w:rsidP="006E760E">
      <w:pPr>
        <w:jc w:val="both"/>
        <w:rPr>
          <w:sz w:val="20"/>
          <w:szCs w:val="20"/>
        </w:rPr>
      </w:pPr>
    </w:p>
    <w:p w:rsidR="004A7019" w:rsidRPr="001C633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>В редакции законопроекта не выработаны четкие и прозрачные критерии положительных и отрицательных последствий принятия законопроекта. Не достигнут баланс интересов и согласованности интересов четырех столпов институциональных лиц и точек операционного участия в ходе проведения процедур – судебная власть, должник, кредитор и управляющий.</w:t>
      </w:r>
    </w:p>
    <w:p w:rsidR="006E760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 xml:space="preserve">По мнению отдельных лиц, наблюдается сращивание интересов Минэкономики РБ и антикризисных управляющих. </w:t>
      </w:r>
    </w:p>
    <w:p w:rsidR="006E760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 xml:space="preserve">Необходимо разделить положения на обще-институциональные и система-образующие, которые будут иметь значения с точки зрения регулятора бизнеса и реального сектора экономики. </w:t>
      </w:r>
    </w:p>
    <w:p w:rsidR="006E760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 xml:space="preserve">Необходимо выработать антикоррупционные условия и требования деятельности антикризисных управляющих. </w:t>
      </w:r>
    </w:p>
    <w:p w:rsidR="004A7019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>На данном этапе единственным координатором может является только суд в целях защиты, в первую очередь, прав и законных интересов государства, должника и кредиторов.</w:t>
      </w:r>
    </w:p>
    <w:p w:rsidR="005D642F" w:rsidRDefault="005D642F" w:rsidP="006E760E">
      <w:pPr>
        <w:ind w:firstLine="708"/>
        <w:jc w:val="both"/>
        <w:rPr>
          <w:sz w:val="20"/>
          <w:szCs w:val="20"/>
        </w:rPr>
      </w:pPr>
    </w:p>
    <w:p w:rsidR="005D642F" w:rsidRPr="001C633E" w:rsidRDefault="005D642F" w:rsidP="006E760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Приложение: «Замечания по проекту Закона Республики Беларусь «О несостоятельности и банкротстве»», подготовленные Ассоциацией Антикризисных управляющих совместно с Республиканским Союзом Промышленников и предпринимателей</w:t>
      </w:r>
      <w:r w:rsidR="009D7804">
        <w:rPr>
          <w:sz w:val="20"/>
          <w:szCs w:val="20"/>
        </w:rPr>
        <w:t xml:space="preserve"> и РОО «Белорусская научно-промышленная ассоциация».</w:t>
      </w:r>
    </w:p>
    <w:sectPr w:rsidR="005D642F" w:rsidRPr="001C633E" w:rsidSect="001029C2">
      <w:pgSz w:w="16838" w:h="11906" w:orient="landscape" w:code="9"/>
      <w:pgMar w:top="1418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7"/>
    <w:rsid w:val="000A7098"/>
    <w:rsid w:val="001029C2"/>
    <w:rsid w:val="001C633E"/>
    <w:rsid w:val="002A0BDB"/>
    <w:rsid w:val="004011BB"/>
    <w:rsid w:val="004A7019"/>
    <w:rsid w:val="004C4F0F"/>
    <w:rsid w:val="005978D4"/>
    <w:rsid w:val="005D642F"/>
    <w:rsid w:val="00600F2A"/>
    <w:rsid w:val="006D7077"/>
    <w:rsid w:val="006E760E"/>
    <w:rsid w:val="006F69C9"/>
    <w:rsid w:val="0076225C"/>
    <w:rsid w:val="009D7804"/>
    <w:rsid w:val="00AE43D8"/>
    <w:rsid w:val="00BC74E4"/>
    <w:rsid w:val="00BD6540"/>
    <w:rsid w:val="00C6584C"/>
    <w:rsid w:val="00E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33A"/>
  <w15:chartTrackingRefBased/>
  <w15:docId w15:val="{2341711A-AE02-41F8-A429-CEF4B34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69C9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69C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2018-10-28T12:31:00Z</cp:lastPrinted>
  <dcterms:created xsi:type="dcterms:W3CDTF">2018-10-28T10:33:00Z</dcterms:created>
  <dcterms:modified xsi:type="dcterms:W3CDTF">2018-10-28T13:01:00Z</dcterms:modified>
</cp:coreProperties>
</file>