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79" w:rsidRPr="00980305" w:rsidRDefault="000B6979" w:rsidP="000B6979">
      <w:pPr>
        <w:rPr>
          <w:rFonts w:ascii="Times New Roman" w:eastAsia="Adobe Fan Heiti Std B" w:hAnsi="Times New Roman" w:cs="Times New Roman"/>
          <w:b/>
          <w:sz w:val="44"/>
          <w:szCs w:val="44"/>
        </w:rPr>
      </w:pPr>
      <w:r w:rsidRPr="00980305">
        <w:rPr>
          <w:rFonts w:ascii="Times New Roman" w:eastAsia="Adobe Fan Heiti Std B" w:hAnsi="Times New Roman" w:cs="Times New Roman"/>
          <w:b/>
          <w:sz w:val="44"/>
          <w:szCs w:val="44"/>
        </w:rPr>
        <w:t xml:space="preserve">Ассоциация Антикризисных Управляющих </w:t>
      </w:r>
    </w:p>
    <w:p w:rsidR="000B6979" w:rsidRPr="00614FCF" w:rsidRDefault="000B6979" w:rsidP="000B697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14FCF">
        <w:rPr>
          <w:rFonts w:ascii="Times New Roman" w:hAnsi="Times New Roman" w:cs="Times New Roman"/>
        </w:rPr>
        <w:t>Юридический адрес: 220006 г.</w:t>
      </w:r>
      <w:r>
        <w:rPr>
          <w:rFonts w:ascii="Times New Roman" w:hAnsi="Times New Roman" w:cs="Times New Roman"/>
        </w:rPr>
        <w:t xml:space="preserve"> </w:t>
      </w:r>
      <w:r w:rsidRPr="00614FCF">
        <w:rPr>
          <w:rFonts w:ascii="Times New Roman" w:hAnsi="Times New Roman" w:cs="Times New Roman"/>
        </w:rPr>
        <w:t>Минск, ул.</w:t>
      </w:r>
      <w:r>
        <w:rPr>
          <w:rFonts w:ascii="Times New Roman" w:hAnsi="Times New Roman" w:cs="Times New Roman"/>
        </w:rPr>
        <w:t xml:space="preserve"> </w:t>
      </w:r>
      <w:r w:rsidRPr="00614FCF">
        <w:rPr>
          <w:rFonts w:ascii="Times New Roman" w:hAnsi="Times New Roman" w:cs="Times New Roman"/>
        </w:rPr>
        <w:t>Берута, 15-7н</w:t>
      </w:r>
    </w:p>
    <w:p w:rsidR="000B6979" w:rsidRPr="00042B8F" w:rsidRDefault="000B6979" w:rsidP="000B6979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</w:rPr>
      </w:pPr>
      <w:r w:rsidRPr="00980305">
        <w:rPr>
          <w:rFonts w:ascii="Times New Roman" w:hAnsi="Times New Roman" w:cs="Times New Roman"/>
          <w:b/>
          <w:i/>
        </w:rPr>
        <w:t>Адрес для корреспонденции: 220007 г.</w:t>
      </w:r>
      <w:r>
        <w:rPr>
          <w:rFonts w:ascii="Times New Roman" w:hAnsi="Times New Roman" w:cs="Times New Roman"/>
          <w:b/>
          <w:i/>
        </w:rPr>
        <w:t xml:space="preserve"> </w:t>
      </w:r>
      <w:r w:rsidRPr="00980305">
        <w:rPr>
          <w:rFonts w:ascii="Times New Roman" w:hAnsi="Times New Roman" w:cs="Times New Roman"/>
          <w:b/>
          <w:i/>
        </w:rPr>
        <w:t>Минск, ул.</w:t>
      </w:r>
      <w:r>
        <w:rPr>
          <w:rFonts w:ascii="Times New Roman" w:hAnsi="Times New Roman" w:cs="Times New Roman"/>
          <w:b/>
          <w:i/>
        </w:rPr>
        <w:t xml:space="preserve"> </w:t>
      </w:r>
      <w:r w:rsidRPr="00980305">
        <w:rPr>
          <w:rFonts w:ascii="Times New Roman" w:hAnsi="Times New Roman" w:cs="Times New Roman"/>
          <w:b/>
          <w:i/>
        </w:rPr>
        <w:t>Володько</w:t>
      </w:r>
      <w:r>
        <w:rPr>
          <w:rFonts w:ascii="Times New Roman" w:hAnsi="Times New Roman" w:cs="Times New Roman"/>
          <w:b/>
          <w:i/>
        </w:rPr>
        <w:t>,</w:t>
      </w:r>
      <w:r w:rsidRPr="00980305">
        <w:rPr>
          <w:rFonts w:ascii="Times New Roman" w:hAnsi="Times New Roman" w:cs="Times New Roman"/>
          <w:b/>
          <w:i/>
        </w:rPr>
        <w:t xml:space="preserve"> д.</w:t>
      </w:r>
      <w:r>
        <w:rPr>
          <w:rFonts w:ascii="Times New Roman" w:hAnsi="Times New Roman" w:cs="Times New Roman"/>
          <w:b/>
          <w:i/>
        </w:rPr>
        <w:t xml:space="preserve"> </w:t>
      </w:r>
      <w:r w:rsidRPr="00980305">
        <w:rPr>
          <w:rFonts w:ascii="Times New Roman" w:hAnsi="Times New Roman" w:cs="Times New Roman"/>
          <w:b/>
          <w:i/>
        </w:rPr>
        <w:t>18, к.</w:t>
      </w:r>
      <w:r>
        <w:rPr>
          <w:rFonts w:ascii="Times New Roman" w:hAnsi="Times New Roman" w:cs="Times New Roman"/>
          <w:b/>
          <w:i/>
        </w:rPr>
        <w:t xml:space="preserve"> </w:t>
      </w:r>
      <w:r w:rsidRPr="00980305">
        <w:rPr>
          <w:rFonts w:ascii="Times New Roman" w:hAnsi="Times New Roman" w:cs="Times New Roman"/>
          <w:b/>
          <w:i/>
        </w:rPr>
        <w:t>205</w:t>
      </w:r>
    </w:p>
    <w:p w:rsidR="000B6979" w:rsidRPr="000B6979" w:rsidRDefault="005F0B1E" w:rsidP="000B6979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</w:rPr>
      </w:pPr>
      <w:hyperlink r:id="rId8" w:history="1">
        <w:r w:rsidR="000B6979" w:rsidRPr="00BB3AB7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aau</w:t>
        </w:r>
        <w:r w:rsidR="000B6979" w:rsidRPr="000B6979">
          <w:rPr>
            <w:rStyle w:val="a3"/>
            <w:rFonts w:ascii="Times New Roman" w:hAnsi="Times New Roman" w:cs="Times New Roman"/>
            <w:b/>
            <w:i/>
            <w:color w:val="auto"/>
            <w:u w:val="none"/>
          </w:rPr>
          <w:t>.</w:t>
        </w:r>
        <w:r w:rsidR="000B6979" w:rsidRPr="00BB3AB7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belarus</w:t>
        </w:r>
        <w:r w:rsidR="000B6979" w:rsidRPr="000B6979">
          <w:rPr>
            <w:rStyle w:val="a3"/>
            <w:rFonts w:ascii="Times New Roman" w:hAnsi="Times New Roman" w:cs="Times New Roman"/>
            <w:b/>
            <w:i/>
            <w:color w:val="auto"/>
            <w:u w:val="none"/>
          </w:rPr>
          <w:t>@</w:t>
        </w:r>
        <w:r w:rsidR="000B6979" w:rsidRPr="00BB3AB7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gmail</w:t>
        </w:r>
        <w:r w:rsidR="000B6979" w:rsidRPr="000B6979">
          <w:rPr>
            <w:rStyle w:val="a3"/>
            <w:rFonts w:ascii="Times New Roman" w:hAnsi="Times New Roman" w:cs="Times New Roman"/>
            <w:b/>
            <w:i/>
            <w:color w:val="auto"/>
            <w:u w:val="none"/>
          </w:rPr>
          <w:t>.</w:t>
        </w:r>
        <w:r w:rsidR="000B6979" w:rsidRPr="00BB3AB7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com</w:t>
        </w:r>
      </w:hyperlink>
      <w:r w:rsidR="000B6979" w:rsidRPr="000B6979">
        <w:rPr>
          <w:rFonts w:ascii="Times New Roman" w:hAnsi="Times New Roman" w:cs="Times New Roman"/>
          <w:b/>
          <w:i/>
        </w:rPr>
        <w:t xml:space="preserve">   </w:t>
      </w:r>
    </w:p>
    <w:p w:rsidR="000B6979" w:rsidRPr="000B6979" w:rsidRDefault="000B6979" w:rsidP="000B6979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  <w:lang w:val="en-US"/>
        </w:rPr>
        <w:t>aau</w:t>
      </w:r>
      <w:proofErr w:type="spellEnd"/>
      <w:r w:rsidRPr="000B6979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  <w:lang w:val="en-US"/>
        </w:rPr>
        <w:t>by</w:t>
      </w:r>
    </w:p>
    <w:p w:rsidR="000B6979" w:rsidRPr="000B6979" w:rsidRDefault="000B6979" w:rsidP="000B6979">
      <w:pPr>
        <w:rPr>
          <w:rFonts w:ascii="Times New Roman" w:hAnsi="Times New Roman" w:cs="Times New Roman"/>
        </w:rPr>
      </w:pPr>
    </w:p>
    <w:p w:rsidR="000B6979" w:rsidRPr="005F0B1E" w:rsidRDefault="000B6979" w:rsidP="005F0B1E">
      <w:pPr>
        <w:rPr>
          <w:rFonts w:ascii="Times New Roman" w:hAnsi="Times New Roman" w:cs="Times New Roman"/>
          <w:sz w:val="30"/>
          <w:szCs w:val="30"/>
        </w:rPr>
      </w:pPr>
      <w:r w:rsidRPr="00E96A53">
        <w:rPr>
          <w:rFonts w:ascii="Times New Roman" w:hAnsi="Times New Roman" w:cs="Times New Roman"/>
          <w:sz w:val="30"/>
          <w:szCs w:val="30"/>
        </w:rPr>
        <w:t xml:space="preserve">Исх. </w:t>
      </w:r>
      <w:r>
        <w:rPr>
          <w:rFonts w:ascii="Times New Roman" w:hAnsi="Times New Roman" w:cs="Times New Roman"/>
          <w:sz w:val="30"/>
          <w:szCs w:val="30"/>
        </w:rPr>
        <w:t>1/07</w:t>
      </w:r>
      <w:r w:rsidRPr="00E96A53">
        <w:rPr>
          <w:rFonts w:ascii="Times New Roman" w:hAnsi="Times New Roman" w:cs="Times New Roman"/>
          <w:sz w:val="30"/>
          <w:szCs w:val="30"/>
        </w:rPr>
        <w:t xml:space="preserve"> от </w:t>
      </w:r>
      <w:r>
        <w:rPr>
          <w:rFonts w:ascii="Times New Roman" w:hAnsi="Times New Roman" w:cs="Times New Roman"/>
          <w:sz w:val="30"/>
          <w:szCs w:val="30"/>
        </w:rPr>
        <w:t>23.07.2020</w:t>
      </w:r>
    </w:p>
    <w:p w:rsidR="005F0B1E" w:rsidRDefault="005F0B1E" w:rsidP="008F1F2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C2057" w:rsidRPr="00EB5F93" w:rsidRDefault="005F0B1E" w:rsidP="008F1F2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по санации и банкротству Министерства экономики</w:t>
      </w:r>
    </w:p>
    <w:p w:rsidR="00DE410E" w:rsidRPr="00EB5F93" w:rsidRDefault="00DE410E" w:rsidP="00C72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772" w:rsidRDefault="00EC2057" w:rsidP="00176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Ассоциацией антикризисных управляющих неоднократно направлялись в адрес Республиканского союза промышленников и предпринимателей, Совета по развитию предпринимательства Палаты представителей Национального собрания, Верховный суд</w:t>
      </w:r>
      <w:r w:rsidR="005F0B1E">
        <w:rPr>
          <w:rFonts w:ascii="Times New Roman" w:hAnsi="Times New Roman" w:cs="Times New Roman"/>
          <w:sz w:val="28"/>
          <w:szCs w:val="28"/>
        </w:rPr>
        <w:t>, Министерство экономики Республики Беларусь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предложения и замечания по проекту Закона Республики Беларусь «О неплатежеспособности и несостоятельности».</w:t>
      </w:r>
    </w:p>
    <w:p w:rsidR="00EC2057" w:rsidRDefault="00EC2057" w:rsidP="00176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Ассоциация приняла участие в подготовке замечаний и предложений от имени РСПП.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Выражая свое мнение о положениях проекта Закона, при подготовке замечаний и предложений от имени РСПП Ассоциация исходила лишь из принципа, что РСПП необходимо принять активное участие в подготовке предложений по проекту Закона, так как Закон о несостоятельности затрагивает интересы бизнеса и по своей значимости для бизнеса он стоит в одном ряду с Гражданским кодексом.</w:t>
      </w:r>
      <w:proofErr w:type="gramEnd"/>
    </w:p>
    <w:p w:rsidR="00EC2057" w:rsidRDefault="00EC2057" w:rsidP="00176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Предложенный проект Закона, по мнению Ассоциации, не отвечает интересам бизнеса. Ассоциация выделяет четыре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Закона, которые, по мнению Ассоциации, могут повлечь в будущем негативные последствия.</w:t>
      </w:r>
    </w:p>
    <w:p w:rsidR="004A69F6" w:rsidRPr="00033D15" w:rsidRDefault="00EC2057" w:rsidP="00033D15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положений ст. 13 Конституции Республики Беларусь, согласно которой государство гарантирует всем равные возможности свободного использования способностей и имущества для предпринимательской и иной не запреще</w:t>
      </w:r>
      <w:r w:rsidR="00033D15">
        <w:rPr>
          <w:rFonts w:ascii="Times New Roman" w:hAnsi="Times New Roman" w:cs="Times New Roman"/>
          <w:sz w:val="28"/>
          <w:szCs w:val="28"/>
        </w:rPr>
        <w:t>нной экономической деятельности, и</w:t>
      </w:r>
      <w:r>
        <w:rPr>
          <w:rFonts w:ascii="Times New Roman" w:hAnsi="Times New Roman" w:cs="Times New Roman"/>
          <w:sz w:val="28"/>
          <w:szCs w:val="28"/>
        </w:rPr>
        <w:t xml:space="preserve"> ч. 2 п. 1 Гражданского кодекса Республики Беларусь</w:t>
      </w:r>
      <w:r w:rsidR="004A69F6">
        <w:rPr>
          <w:rFonts w:ascii="Times New Roman" w:hAnsi="Times New Roman" w:cs="Times New Roman"/>
          <w:sz w:val="28"/>
          <w:szCs w:val="28"/>
        </w:rPr>
        <w:t>:</w:t>
      </w:r>
      <w:r w:rsidR="00033D15">
        <w:rPr>
          <w:rFonts w:ascii="Times New Roman" w:hAnsi="Times New Roman" w:cs="Times New Roman"/>
          <w:sz w:val="28"/>
          <w:szCs w:val="28"/>
        </w:rPr>
        <w:t xml:space="preserve"> </w:t>
      </w:r>
      <w:r w:rsidR="004A69F6" w:rsidRPr="00033D15">
        <w:rPr>
          <w:rFonts w:ascii="Times New Roman" w:hAnsi="Times New Roman" w:cs="Times New Roman"/>
          <w:sz w:val="28"/>
          <w:szCs w:val="28"/>
        </w:rPr>
        <w:t>«Предпринимательская деятельность – это самостоятельная деятельность юридических и физических лиц, осуществляемая ими в гражданском обороте от своего имени, на свой риск и под свою имущественную ответственность …»</w:t>
      </w:r>
      <w:r w:rsidR="00033D15">
        <w:rPr>
          <w:rFonts w:ascii="Times New Roman" w:hAnsi="Times New Roman" w:cs="Times New Roman"/>
          <w:sz w:val="28"/>
          <w:szCs w:val="28"/>
        </w:rPr>
        <w:t xml:space="preserve"> п</w:t>
      </w:r>
      <w:r w:rsidR="004A69F6" w:rsidRPr="00033D15">
        <w:rPr>
          <w:rFonts w:ascii="Times New Roman" w:hAnsi="Times New Roman" w:cs="Times New Roman"/>
          <w:sz w:val="28"/>
          <w:szCs w:val="28"/>
        </w:rPr>
        <w:t xml:space="preserve">роектом Закона предоставлено право </w:t>
      </w:r>
      <w:proofErr w:type="gramStart"/>
      <w:r w:rsidR="004A69F6" w:rsidRPr="00033D15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="004A69F6" w:rsidRPr="00033D15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антикризисного управления только индивидуальным предпринимателям.</w:t>
      </w:r>
    </w:p>
    <w:p w:rsidR="004A69F6" w:rsidRDefault="004A69F6" w:rsidP="004A69F6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Данной нормой проекта Закона практически не затрагиваются интересы антикризисных управляющих, так как и в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большинство из них осуществляют свою деятельность как индивидуальные предприниматели.</w:t>
      </w:r>
    </w:p>
    <w:p w:rsidR="004A69F6" w:rsidRDefault="004A69F6" w:rsidP="004A69F6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отступление от основополагающих принципов, указанных выше, по мнению Ассоциации, является опасным явлением, так как может повлечь за собой ограничения в предпринимательской деятельности и для других сфер предпринимательской деятельности.</w:t>
      </w:r>
    </w:p>
    <w:p w:rsidR="004A69F6" w:rsidRDefault="004A69F6" w:rsidP="004A69F6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Предложение Ассоциации – либо юридические лица и индивидуальные предприниматели, либо физические лица, не являющиеся индивидуальными предпринимателями (Россия, Украина).</w:t>
      </w:r>
    </w:p>
    <w:p w:rsidR="004A69F6" w:rsidRDefault="004A69F6" w:rsidP="004A69F6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не содержит норм, определяющих порядок и условия проведения реструктуризации </w:t>
      </w:r>
      <w:r w:rsidR="00033D15">
        <w:rPr>
          <w:rFonts w:ascii="Times New Roman" w:hAnsi="Times New Roman" w:cs="Times New Roman"/>
          <w:sz w:val="28"/>
          <w:szCs w:val="28"/>
        </w:rPr>
        <w:t>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, попавшими в сложное </w:t>
      </w:r>
      <w:r w:rsidR="001E307E">
        <w:rPr>
          <w:rFonts w:ascii="Times New Roman" w:hAnsi="Times New Roman" w:cs="Times New Roman"/>
          <w:sz w:val="28"/>
          <w:szCs w:val="28"/>
        </w:rPr>
        <w:t>экономическое положение.</w:t>
      </w:r>
    </w:p>
    <w:p w:rsidR="001E307E" w:rsidRDefault="001E307E" w:rsidP="001E307E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в обосновании к проекту Закона на необходимость финансового оздоровления и передача функций координации</w:t>
      </w:r>
      <w:r w:rsidR="00033D15">
        <w:rPr>
          <w:rFonts w:ascii="Times New Roman" w:hAnsi="Times New Roman" w:cs="Times New Roman"/>
          <w:sz w:val="28"/>
          <w:szCs w:val="28"/>
        </w:rPr>
        <w:t xml:space="preserve"> по финансовому оздоровлению Правительству</w:t>
      </w:r>
      <w:r>
        <w:rPr>
          <w:rFonts w:ascii="Times New Roman" w:hAnsi="Times New Roman" w:cs="Times New Roman"/>
          <w:sz w:val="28"/>
          <w:szCs w:val="28"/>
        </w:rPr>
        <w:t>, орган</w:t>
      </w:r>
      <w:r w:rsidR="00033D1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делам о неплатежеспособности, отраслевым органам является декларативным и не подкреплено нормами проекта Закона.</w:t>
      </w:r>
    </w:p>
    <w:p w:rsidR="001E307E" w:rsidRDefault="001E307E" w:rsidP="001E307E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полагает, что бизнесу необходимо, чтобы в проекте Закона были установлены четкие и ясные правила раннего предупреждения несостоятельности.</w:t>
      </w:r>
    </w:p>
    <w:p w:rsidR="001E307E" w:rsidRPr="001E307E" w:rsidRDefault="001E307E" w:rsidP="001E307E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7E">
        <w:rPr>
          <w:rFonts w:ascii="Times New Roman" w:hAnsi="Times New Roman" w:cs="Times New Roman"/>
          <w:sz w:val="28"/>
          <w:szCs w:val="28"/>
        </w:rPr>
        <w:t xml:space="preserve">Реструктуризация предполагает, как это следует из международной практики и опыта, не только реструктуризацию долгов, но и реструктуризацию </w:t>
      </w:r>
      <w:proofErr w:type="gramStart"/>
      <w:r w:rsidRPr="001E307E">
        <w:rPr>
          <w:rFonts w:ascii="Times New Roman" w:hAnsi="Times New Roman" w:cs="Times New Roman"/>
          <w:sz w:val="28"/>
          <w:szCs w:val="28"/>
        </w:rPr>
        <w:t>капитала</w:t>
      </w:r>
      <w:proofErr w:type="gramEnd"/>
      <w:r w:rsidRPr="001E307E">
        <w:rPr>
          <w:rFonts w:ascii="Times New Roman" w:hAnsi="Times New Roman" w:cs="Times New Roman"/>
          <w:sz w:val="28"/>
          <w:szCs w:val="28"/>
        </w:rPr>
        <w:t xml:space="preserve"> и реструктуризацию самого бизнеса. </w:t>
      </w:r>
    </w:p>
    <w:p w:rsidR="001E307E" w:rsidRPr="001E307E" w:rsidRDefault="001E307E" w:rsidP="001E307E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07E" w:rsidRPr="001E307E" w:rsidRDefault="001E307E" w:rsidP="001E307E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7E">
        <w:rPr>
          <w:rFonts w:ascii="Times New Roman" w:hAnsi="Times New Roman" w:cs="Times New Roman"/>
          <w:sz w:val="28"/>
          <w:szCs w:val="28"/>
        </w:rPr>
        <w:t xml:space="preserve">Порядок и условия проведения реструктуризации отражены </w:t>
      </w:r>
      <w:proofErr w:type="gramStart"/>
      <w:r w:rsidRPr="001E307E">
        <w:rPr>
          <w:rFonts w:ascii="Times New Roman" w:hAnsi="Times New Roman" w:cs="Times New Roman"/>
          <w:sz w:val="28"/>
          <w:szCs w:val="28"/>
        </w:rPr>
        <w:t>в положениях Руководства Комиссии Организации Объединённых Наций по праву международной торговли для законодательных органов по вопросам законодательства о несостоятельности</w:t>
      </w:r>
      <w:proofErr w:type="gramEnd"/>
      <w:r w:rsidRPr="001E307E">
        <w:rPr>
          <w:rFonts w:ascii="Times New Roman" w:hAnsi="Times New Roman" w:cs="Times New Roman"/>
          <w:sz w:val="28"/>
          <w:szCs w:val="28"/>
        </w:rPr>
        <w:t>, принятых Генеральной Ассамблеей ООН 02.12.2004года.</w:t>
      </w:r>
    </w:p>
    <w:p w:rsidR="001E307E" w:rsidRPr="001E307E" w:rsidRDefault="001E307E" w:rsidP="001E307E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7E">
        <w:rPr>
          <w:rFonts w:ascii="Times New Roman" w:hAnsi="Times New Roman" w:cs="Times New Roman"/>
          <w:sz w:val="28"/>
          <w:szCs w:val="28"/>
        </w:rPr>
        <w:t>Следует отметить, что законодательство о несостоятельности большинства стран содержит четкий и ясный порядок и условия проведения реструктуризации (досудебного оздоровления). Планы досудебного оздоровления согласовываются кредиторами, утверждаются кредиторами и, как правило, утверждаются судом.</w:t>
      </w:r>
    </w:p>
    <w:p w:rsidR="001E307E" w:rsidRPr="001E307E" w:rsidRDefault="001E307E" w:rsidP="001E307E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7E">
        <w:rPr>
          <w:rFonts w:ascii="Times New Roman" w:hAnsi="Times New Roman" w:cs="Times New Roman"/>
          <w:sz w:val="28"/>
          <w:szCs w:val="28"/>
        </w:rPr>
        <w:t>Аналогичные нормы предусмотрены и в Директиве Евросоюза № 2019/1023 от 6.06.2019, на которую ссылается в своем Обосновании Проекту Регулятор, «О механизмах превентивной реструктуризации на ранней стадии разрушения бизнеса, предоставлении «второго шанса», повышении эффективности процедур реструктуризации, несостоятельности, банкротстве». Почему-то Регулятор увидели в этом документе лишь одну ориентацию - «в первую очередь на восстановление должников, а не приоритет кредиторов».</w:t>
      </w:r>
    </w:p>
    <w:p w:rsidR="001E307E" w:rsidRPr="001E307E" w:rsidRDefault="001E307E" w:rsidP="001E307E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7E">
        <w:rPr>
          <w:rFonts w:ascii="Times New Roman" w:hAnsi="Times New Roman" w:cs="Times New Roman"/>
          <w:sz w:val="28"/>
          <w:szCs w:val="28"/>
        </w:rPr>
        <w:t xml:space="preserve">В тоже время, в директиве ЕС главной целью провозглашено обеспечение надлежащего баланса интересов должников и кредиторов и лишь потом – повысить культуру спасения бизнеса на основе принципа "второго шанса". </w:t>
      </w:r>
    </w:p>
    <w:p w:rsidR="001E307E" w:rsidRPr="001E307E" w:rsidRDefault="001E307E" w:rsidP="001E307E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7E">
        <w:rPr>
          <w:rFonts w:ascii="Times New Roman" w:hAnsi="Times New Roman" w:cs="Times New Roman"/>
          <w:sz w:val="28"/>
          <w:szCs w:val="28"/>
        </w:rPr>
        <w:t>Прежде всего, речь идет о сокращении неработающих (просроченных) кредитов на балансах банков и предотвращение их накопления в будущем.</w:t>
      </w:r>
    </w:p>
    <w:p w:rsidR="001E307E" w:rsidRPr="001E307E" w:rsidRDefault="001E307E" w:rsidP="001E307E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7E">
        <w:rPr>
          <w:rFonts w:ascii="Times New Roman" w:hAnsi="Times New Roman" w:cs="Times New Roman"/>
          <w:sz w:val="28"/>
          <w:szCs w:val="28"/>
        </w:rPr>
        <w:t xml:space="preserve">Директива ЕС содержит правила раннего предупреждения и доступа к информации о вероятной несостоятельности, содействие переговорам по планам превентивной реструктуризации, составление этих планов, отдельные </w:t>
      </w:r>
      <w:r w:rsidRPr="001E307E">
        <w:rPr>
          <w:rFonts w:ascii="Times New Roman" w:hAnsi="Times New Roman" w:cs="Times New Roman"/>
          <w:sz w:val="28"/>
          <w:szCs w:val="28"/>
        </w:rPr>
        <w:lastRenderedPageBreak/>
        <w:t xml:space="preserve">принудительные действия в поддержку переговоров, </w:t>
      </w:r>
      <w:proofErr w:type="gramStart"/>
      <w:r w:rsidRPr="001E307E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Pr="001E307E">
        <w:rPr>
          <w:rFonts w:ascii="Times New Roman" w:hAnsi="Times New Roman" w:cs="Times New Roman"/>
          <w:sz w:val="28"/>
          <w:szCs w:val="28"/>
        </w:rPr>
        <w:t xml:space="preserve"> по крайней мере к одной процедуре, обеспечивающей полное погашение долга через 3 года.</w:t>
      </w:r>
    </w:p>
    <w:p w:rsidR="001E307E" w:rsidRPr="001E307E" w:rsidRDefault="001E307E" w:rsidP="001E307E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7E">
        <w:rPr>
          <w:rFonts w:ascii="Times New Roman" w:hAnsi="Times New Roman" w:cs="Times New Roman"/>
          <w:sz w:val="28"/>
          <w:szCs w:val="28"/>
        </w:rPr>
        <w:t xml:space="preserve">Ключевой элемент директивы – правила превентивной реструктуризации, включающие вопросы содержания и порядка утверждения планов реструктуризации, включая возможность преодоления нерациональных возражений кредиторов, защита «реабилитационного» финансирования и иных сделок должника, обязанности директоров на </w:t>
      </w:r>
      <w:proofErr w:type="spellStart"/>
      <w:r w:rsidRPr="001E307E">
        <w:rPr>
          <w:rFonts w:ascii="Times New Roman" w:hAnsi="Times New Roman" w:cs="Times New Roman"/>
          <w:sz w:val="28"/>
          <w:szCs w:val="28"/>
        </w:rPr>
        <w:t>предбанкротной</w:t>
      </w:r>
      <w:proofErr w:type="spellEnd"/>
      <w:r w:rsidRPr="001E307E">
        <w:rPr>
          <w:rFonts w:ascii="Times New Roman" w:hAnsi="Times New Roman" w:cs="Times New Roman"/>
          <w:sz w:val="28"/>
          <w:szCs w:val="28"/>
        </w:rPr>
        <w:t xml:space="preserve"> стадии и т.д.</w:t>
      </w:r>
    </w:p>
    <w:p w:rsidR="001E307E" w:rsidRPr="001E307E" w:rsidRDefault="001E307E" w:rsidP="001E307E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7E">
        <w:rPr>
          <w:rFonts w:ascii="Times New Roman" w:hAnsi="Times New Roman" w:cs="Times New Roman"/>
          <w:sz w:val="28"/>
          <w:szCs w:val="28"/>
        </w:rPr>
        <w:t>Директива обязывает страны ЕС ввести хотя бы одну процедуру списания долгов предпринимателей. Это может быть как одобрение плана частичного погашения долгов и реализация имущества должника, так и комбинация обоих вариантов. При этом учитывается индивидуальная ситуация самого должника, уровень его дохода и наличие имущества, а также интересы кредиторов, в том числе и миноритарных. Допускается возможность изменения выплат должником в зависимости от его финансового положения. Если 3-летний срок истек, процедуру можно «воскресить», например, если финансовое положение должника впоследствии резко улучшилось.</w:t>
      </w:r>
    </w:p>
    <w:p w:rsidR="001E307E" w:rsidRPr="001E307E" w:rsidRDefault="001E307E" w:rsidP="001E307E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7E">
        <w:rPr>
          <w:rFonts w:ascii="Times New Roman" w:hAnsi="Times New Roman" w:cs="Times New Roman"/>
          <w:sz w:val="28"/>
          <w:szCs w:val="28"/>
        </w:rPr>
        <w:t>В списании долгов согласно ст. 22 директивы может быть отказано в случае недобросовестного поведения должника, нарушение им графика погашения задолженности, злоупотребления процедурой списания долга, повторного обращения с заявлением о банкротстве, отсутствия финансирования и… в связи с необходимостью соблюдения баланса прав должника и его кредиторов.</w:t>
      </w:r>
    </w:p>
    <w:p w:rsidR="001E307E" w:rsidRPr="001E307E" w:rsidRDefault="001E307E" w:rsidP="001E307E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7E">
        <w:rPr>
          <w:rFonts w:ascii="Times New Roman" w:hAnsi="Times New Roman" w:cs="Times New Roman"/>
          <w:sz w:val="28"/>
          <w:szCs w:val="28"/>
        </w:rPr>
        <w:t xml:space="preserve">Предусмотрен механизм </w:t>
      </w:r>
      <w:proofErr w:type="gramStart"/>
      <w:r w:rsidRPr="001E30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307E">
        <w:rPr>
          <w:rFonts w:ascii="Times New Roman" w:hAnsi="Times New Roman" w:cs="Times New Roman"/>
          <w:sz w:val="28"/>
          <w:szCs w:val="28"/>
        </w:rPr>
        <w:t xml:space="preserve"> проведением превентивной реструктуризации практикующим специалистом.</w:t>
      </w:r>
    </w:p>
    <w:p w:rsidR="001E307E" w:rsidRPr="001E307E" w:rsidRDefault="001E307E" w:rsidP="001E307E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07E">
        <w:rPr>
          <w:rFonts w:ascii="Times New Roman" w:hAnsi="Times New Roman" w:cs="Times New Roman"/>
          <w:sz w:val="28"/>
          <w:szCs w:val="28"/>
        </w:rPr>
        <w:t>Определено</w:t>
      </w:r>
      <w:proofErr w:type="gramEnd"/>
      <w:r w:rsidRPr="001E307E">
        <w:rPr>
          <w:rFonts w:ascii="Times New Roman" w:hAnsi="Times New Roman" w:cs="Times New Roman"/>
          <w:sz w:val="28"/>
          <w:szCs w:val="28"/>
        </w:rPr>
        <w:t xml:space="preserve"> какие меры должны принимать руководители организаций для минимизации убытков и предотвращения несостоятельности. Указано на необходимость защиты интересов кредиторов от принимаемых управленческих решений.</w:t>
      </w:r>
    </w:p>
    <w:p w:rsidR="001E307E" w:rsidRPr="001E307E" w:rsidRDefault="001E307E" w:rsidP="001E307E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7E">
        <w:rPr>
          <w:rFonts w:ascii="Times New Roman" w:hAnsi="Times New Roman" w:cs="Times New Roman"/>
          <w:sz w:val="28"/>
          <w:szCs w:val="28"/>
        </w:rPr>
        <w:t>В Директиве имеется указание на необходимость принимать во внимание характер и размер долгов, время их возникновения, предпринятые меры по уплате долгов и выполнению обязательств, необходимости надлежащего ведения бухгалтерского учета, выполнение иных обязанностей по предотвращению несостоятельности, требований законодательства по лицензированию.</w:t>
      </w:r>
    </w:p>
    <w:p w:rsidR="001E307E" w:rsidRPr="001E307E" w:rsidRDefault="001E307E" w:rsidP="001E307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07E" w:rsidRDefault="001E307E" w:rsidP="001E307E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7E">
        <w:rPr>
          <w:rFonts w:ascii="Times New Roman" w:hAnsi="Times New Roman" w:cs="Times New Roman"/>
          <w:sz w:val="28"/>
          <w:szCs w:val="28"/>
        </w:rPr>
        <w:t>Какие-либо нормы, упомянутые выше, в предложенном Регулятором Проекте отсутствуют – имеются лишь общие фразы, указывающие на возможность проведения реструктуризации (досудебного оздоровления). Норма о досудебном оздоровлении имеется и в ныне действующем Законе, однако она является мертвой, так как досудебное оздоровление фактически не применяется и результатов не дает.</w:t>
      </w:r>
    </w:p>
    <w:p w:rsidR="001E307E" w:rsidRDefault="001E307E" w:rsidP="001E307E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норма по реструктуризации не затрагивает интересы антикризисных управляющих, но имеет, по нашему мнению, существенное значение для развития бизнеса.</w:t>
      </w:r>
    </w:p>
    <w:p w:rsidR="001E307E" w:rsidRDefault="001E307E" w:rsidP="00B81889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Установление приоритета обе</w:t>
      </w:r>
      <w:r w:rsidR="00B81889">
        <w:rPr>
          <w:rFonts w:ascii="Times New Roman" w:hAnsi="Times New Roman" w:cs="Times New Roman"/>
          <w:sz w:val="28"/>
          <w:szCs w:val="28"/>
        </w:rPr>
        <w:t>спеченных залогом требований кредиторо</w:t>
      </w:r>
      <w:r w:rsidR="00033D15">
        <w:rPr>
          <w:rFonts w:ascii="Times New Roman" w:hAnsi="Times New Roman" w:cs="Times New Roman"/>
          <w:sz w:val="28"/>
          <w:szCs w:val="28"/>
        </w:rPr>
        <w:t>в в более привилегированной 3-е</w:t>
      </w:r>
      <w:r w:rsidR="00B81889">
        <w:rPr>
          <w:rFonts w:ascii="Times New Roman" w:hAnsi="Times New Roman" w:cs="Times New Roman"/>
          <w:sz w:val="28"/>
          <w:szCs w:val="28"/>
        </w:rPr>
        <w:t xml:space="preserve">й очереди перед бюджетными платежами. </w:t>
      </w:r>
    </w:p>
    <w:p w:rsidR="00B81889" w:rsidRDefault="00B81889" w:rsidP="00D0551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полагает, что бизнес должен учитывать не только интересы залоговых кредиторов, но в первую очередь бюджета страны, что особенно стало актуальным в период </w:t>
      </w:r>
      <w:r w:rsidR="00D05510">
        <w:rPr>
          <w:rFonts w:ascii="Times New Roman" w:hAnsi="Times New Roman" w:cs="Times New Roman"/>
          <w:sz w:val="28"/>
          <w:szCs w:val="28"/>
        </w:rPr>
        <w:t xml:space="preserve">пандемии. </w:t>
      </w:r>
    </w:p>
    <w:p w:rsidR="00D05510" w:rsidRDefault="00D05510" w:rsidP="00D0551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 залоговых кредиторов имеются преимущества, их требования включаются в реестр требований 4-ой очереди.</w:t>
      </w:r>
    </w:p>
    <w:p w:rsidR="00D05510" w:rsidRDefault="00D05510" w:rsidP="00D0551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о приоритете требований не затрагивает интересы антикризисных управляющих, а затрагивает интересы практически всех граждан страны, так как будет влечь за собой уменьшение поступлений в бюджет.</w:t>
      </w:r>
    </w:p>
    <w:p w:rsidR="00D05510" w:rsidRDefault="00D05510" w:rsidP="00D05510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Закона предусмотрено создание Палаты антикризисных управляющих, членство в которой является обязательным.</w:t>
      </w:r>
    </w:p>
    <w:p w:rsid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ая норма не затронет существенно интересы управляющих. Те, кто не пожелают вступить в Палату, покинут бизнес, а остальные будут работать, являясь членами Палаты.</w:t>
      </w:r>
    </w:p>
    <w:p w:rsid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считает, что создание Палаты с обязательным членством является очень опасным</w:t>
      </w:r>
      <w:r w:rsidR="00033D15">
        <w:rPr>
          <w:rFonts w:ascii="Times New Roman" w:hAnsi="Times New Roman" w:cs="Times New Roman"/>
          <w:sz w:val="28"/>
          <w:szCs w:val="28"/>
        </w:rPr>
        <w:t xml:space="preserve"> для бизнеса</w:t>
      </w:r>
      <w:r>
        <w:rPr>
          <w:rFonts w:ascii="Times New Roman" w:hAnsi="Times New Roman" w:cs="Times New Roman"/>
          <w:sz w:val="28"/>
          <w:szCs w:val="28"/>
        </w:rPr>
        <w:t xml:space="preserve"> и вызывает озабоченность у Ассоциации в связи с передачей Палате функций органов государственного управления.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По мнению Ассоциации, не соблюдены основные принципы саморегулирования, основанного на обязательном участии: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 xml:space="preserve">1) эффективность - введение саморегулирования осуществляется только при условии, что это обеспечит более эффективное достижение целей, поставленных при государственном регулировании; 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2) исключение дублирования - четкое разграничение компетенции государственных органов и саморегулируемых организаций с целью исключения двойного контроля в отношении членов (участников) саморегулируемых организаций.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 xml:space="preserve">В Проекте Закона в редакции 2020 года не определено, какова будет эффективность от создания Палаты, каким образом это будет способствовать достижению целей, поставленных при государственном регулировании. 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Из положений Проекта Закона в редакции 2020 года, определяющих права и обязанности Палаты антикризисных управляющих, не следует, каким образом создание Палаты антикризисных управляющих будет способствовать качественному проведению процедуры банкротства, и в первую очередь санации бизнеса, не дано экономическое обоснование необходимости создания и деятельности Палаты.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Отсутствие в законодательстве четких правил и принципов деятельности саморегулируемых организаций и установление обязательного членства в Палате антикризисных управляющих приведет к тому, что создание Палаты антикризисных управляющих превратится в «допу</w:t>
      </w:r>
      <w:proofErr w:type="gramStart"/>
      <w:r w:rsidRPr="00D05510">
        <w:rPr>
          <w:rFonts w:ascii="Times New Roman" w:hAnsi="Times New Roman" w:cs="Times New Roman"/>
          <w:sz w:val="28"/>
          <w:szCs w:val="28"/>
        </w:rPr>
        <w:t>ск к пр</w:t>
      </w:r>
      <w:proofErr w:type="gramEnd"/>
      <w:r w:rsidRPr="00D05510">
        <w:rPr>
          <w:rFonts w:ascii="Times New Roman" w:hAnsi="Times New Roman" w:cs="Times New Roman"/>
          <w:sz w:val="28"/>
          <w:szCs w:val="28"/>
        </w:rPr>
        <w:t>офессии».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 xml:space="preserve">В отличие от адвокатов и нотариусов, деятельность управляющих относится к группе с высокими коррупционными рисками. Управляющий распоряжается имуществом, принадлежащим третьим лицам, принимаемые им </w:t>
      </w:r>
      <w:r w:rsidRPr="00D05510">
        <w:rPr>
          <w:rFonts w:ascii="Times New Roman" w:hAnsi="Times New Roman" w:cs="Times New Roman"/>
          <w:sz w:val="28"/>
          <w:szCs w:val="28"/>
        </w:rPr>
        <w:lastRenderedPageBreak/>
        <w:t>решения могут повлечь за собой негативные последствия для значительного круга третьих лиц.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В связи с этим необходимо учитывать тот факт, что члены Палаты антикризисных управляющих с обязательным членством в меньшей степени могут воздействовать на эффективность внутренней политики Палаты из-за отсутствия возможности «голосовать ногами».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 xml:space="preserve">В организациях с обязательным членством существуют также объективные ограничения реального воздействия на рынок. 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 xml:space="preserve">Проект Закона в редакции 2020 года не содержит положений о том, каким образом создание Палаты антикризисных управляющих обеспечит открытость и прозрачность и сокращения сроков проведения процедур несостоятельности или банкротства. 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 xml:space="preserve">В настоящее время при наличии контроля за деятельностью </w:t>
      </w:r>
      <w:proofErr w:type="gramStart"/>
      <w:r w:rsidRPr="00D05510">
        <w:rPr>
          <w:rFonts w:ascii="Times New Roman" w:hAnsi="Times New Roman" w:cs="Times New Roman"/>
          <w:sz w:val="28"/>
          <w:szCs w:val="28"/>
        </w:rPr>
        <w:t>управляющего</w:t>
      </w:r>
      <w:proofErr w:type="gramEnd"/>
      <w:r w:rsidRPr="00D05510">
        <w:rPr>
          <w:rFonts w:ascii="Times New Roman" w:hAnsi="Times New Roman" w:cs="Times New Roman"/>
          <w:sz w:val="28"/>
          <w:szCs w:val="28"/>
        </w:rPr>
        <w:t xml:space="preserve"> как со стороны суда, так и со стороны органа государственного управления по делам о банкротстве, значительное число управляющих (в процентном отношении к общему количеству управляющих) привлекается к уголовной ответственности за действия, повлекшие причинение ущерба кредиторам (должнику). Несмотря на возбуждение уголовных дел, привлечение к административной ответственности и отстранение от исполнения обязанностей управляющего, количество нарушений не уменьшается.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 xml:space="preserve">Создание Палаты антикризисных управляющих в том виде, который предусмотрен в проекте Закона в редакции 2020 года, и с тем объемом полномочий лишь усугубит ситуацию, так как лишит кредиторов (должников) права осуществления </w:t>
      </w:r>
      <w:proofErr w:type="gramStart"/>
      <w:r w:rsidRPr="00D055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5510">
        <w:rPr>
          <w:rFonts w:ascii="Times New Roman" w:hAnsi="Times New Roman" w:cs="Times New Roman"/>
          <w:sz w:val="28"/>
          <w:szCs w:val="28"/>
        </w:rPr>
        <w:t xml:space="preserve"> деятельностью управляющих и защиты своих законных прав и интересов, а также увеличит коррупционные риски при проведении процедур.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 xml:space="preserve">Так, например, Проект Закона в редакции 2020 года предусматривает процедуру рассмотрения Палатой заявлений управляющего, в том числе о разногласиях между ним и кредиторами, а также жалоб кредиторов, иных лиц, участвующих в деле о несостоятельности или банкротстве, о нарушениях их прав и интересов. Отсутствует норма, в соответствии которой все лица, участвующие в деле о несостоятельности или банкротстве, имеют возможность участвовать в таком рассмотрении и представить свое мнение по сути поданной жалобы либо заявления о разногласиях при том, что принимаемые решения могут затрагивать их права и законные интересы. Имеется указание на то, что в случае несогласия с принятыми Палатой решениями, они могут быть обжалованы в экономический суд. Совершенно очевидно, что если одна из сторон спора будет не согласна с принятыми решениями, она обратится в суд за защитой своих прав и законных интересов, что повлечет за собой увеличение сроков проведения процедур несостоятельности или банкротства. 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lastRenderedPageBreak/>
        <w:t xml:space="preserve">Члены Ассоциации согласны с тем, что на экономические суды возлагается большая нагрузка в части рассмотрения жалоб на </w:t>
      </w:r>
      <w:proofErr w:type="gramStart"/>
      <w:r w:rsidRPr="00D05510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D05510">
        <w:rPr>
          <w:rFonts w:ascii="Times New Roman" w:hAnsi="Times New Roman" w:cs="Times New Roman"/>
          <w:sz w:val="28"/>
          <w:szCs w:val="28"/>
        </w:rPr>
        <w:t xml:space="preserve"> управляющего, в том числе, порой, и необоснованных.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 xml:space="preserve">В связи с этим, Ассоциация предлагает уменьшить нагрузку суда и предусмотреть норму, обязывающую управляющего и кредитора (иных лиц участвующих в деле) обратится </w:t>
      </w:r>
      <w:proofErr w:type="gramStart"/>
      <w:r w:rsidRPr="00D05510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D05510">
        <w:rPr>
          <w:rFonts w:ascii="Times New Roman" w:hAnsi="Times New Roman" w:cs="Times New Roman"/>
          <w:sz w:val="28"/>
          <w:szCs w:val="28"/>
        </w:rPr>
        <w:t xml:space="preserve"> к медиатору с привлечением всех заинтересованных лиц, участвующих в деле о несостоятельности или банкротстве, а в случае </w:t>
      </w:r>
      <w:proofErr w:type="spellStart"/>
      <w:r w:rsidRPr="00D0551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05510">
        <w:rPr>
          <w:rFonts w:ascii="Times New Roman" w:hAnsi="Times New Roman" w:cs="Times New Roman"/>
          <w:sz w:val="28"/>
          <w:szCs w:val="28"/>
        </w:rPr>
        <w:t xml:space="preserve"> медиативного соглашения – в экономический суд. В данном случае будет обеспечена независимость, открытость и прозрачность принимаемых решений. </w:t>
      </w:r>
      <w:proofErr w:type="gramStart"/>
      <w:r w:rsidRPr="00D05510">
        <w:rPr>
          <w:rFonts w:ascii="Times New Roman" w:hAnsi="Times New Roman" w:cs="Times New Roman"/>
          <w:sz w:val="28"/>
          <w:szCs w:val="28"/>
        </w:rPr>
        <w:t>Более того, возложение в равной степени на управляющего и лиц, участвующих в деле о несостоятельности или банкротстве, при рассмотрении споров медиатором расходов, будет способствовать уменьшению количества подаваемых жалоб, а также стимулировать управляющего и лиц, участвующих в деле о несостоятельности или банкротстве, к уменьшению конфликтов и разногласий, возникающих при проведении процедур несостоятельности или банкротства.</w:t>
      </w:r>
      <w:proofErr w:type="gramEnd"/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Это также будет способствовать развитию института медиации и досудебному разрешению споров.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510">
        <w:rPr>
          <w:rFonts w:ascii="Times New Roman" w:hAnsi="Times New Roman" w:cs="Times New Roman"/>
          <w:sz w:val="28"/>
          <w:szCs w:val="28"/>
        </w:rPr>
        <w:t>Отнесение к компетенции Палаты антикризисных управляющих права подавать заявление в суд об освобождении от участия в деле о банкротстве члена Палаты антикризисных управляющих, а также судебных актов об утверждении или освобождении управляющего, противоречит смыслу и цели Закона о банкротстве, так как это является вмешательством в производство по делу о несостоятельности или банкротстве, а также прямо затрагиваются права и интересы иных</w:t>
      </w:r>
      <w:proofErr w:type="gramEnd"/>
      <w:r w:rsidRPr="00D05510">
        <w:rPr>
          <w:rFonts w:ascii="Times New Roman" w:hAnsi="Times New Roman" w:cs="Times New Roman"/>
          <w:sz w:val="28"/>
          <w:szCs w:val="28"/>
        </w:rPr>
        <w:t xml:space="preserve"> лиц, участвующих в деле о банкротстве. Более того, данная норма является крайне коррупционной.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 xml:space="preserve">Также совершенно непонятно, в чем смысл создания компенсационного фонда Палаты антикризисных </w:t>
      </w:r>
      <w:proofErr w:type="gramStart"/>
      <w:r w:rsidRPr="00D05510">
        <w:rPr>
          <w:rFonts w:ascii="Times New Roman" w:hAnsi="Times New Roman" w:cs="Times New Roman"/>
          <w:sz w:val="28"/>
          <w:szCs w:val="28"/>
        </w:rPr>
        <w:t>управляющих</w:t>
      </w:r>
      <w:proofErr w:type="gramEnd"/>
      <w:r w:rsidRPr="00D05510">
        <w:rPr>
          <w:rFonts w:ascii="Times New Roman" w:hAnsi="Times New Roman" w:cs="Times New Roman"/>
          <w:sz w:val="28"/>
          <w:szCs w:val="28"/>
        </w:rPr>
        <w:t xml:space="preserve"> при наличии хорошо работающей в Республике Беларусь системы страхования деятельности управляющих. 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Создание компенсационного фонда не будет способствовать защите всех, без исключения, лиц, участвующих в деле о несостоятельности или банкротстве.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510">
        <w:rPr>
          <w:rFonts w:ascii="Times New Roman" w:hAnsi="Times New Roman" w:cs="Times New Roman"/>
          <w:sz w:val="28"/>
          <w:szCs w:val="28"/>
        </w:rPr>
        <w:t>Ассоциация предлагает внести иную норму, обеспечивающую защиту прав и защиту интересов всех заинтересованных лиц в случае причинения управляющим при осуществлении своих полномочий ущерба, а именно – дополнительное, кроме обязательного, страхование деятельности управляющего в конкретных процедурах несостоятельности или банкротства.</w:t>
      </w:r>
      <w:proofErr w:type="gramEnd"/>
      <w:r w:rsidRPr="00D05510">
        <w:rPr>
          <w:rFonts w:ascii="Times New Roman" w:hAnsi="Times New Roman" w:cs="Times New Roman"/>
          <w:sz w:val="28"/>
          <w:szCs w:val="28"/>
        </w:rPr>
        <w:t xml:space="preserve"> При этом размер страхового возмещения должен напрямую зависеть от стоимости имущества должника.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510">
        <w:rPr>
          <w:rFonts w:ascii="Times New Roman" w:hAnsi="Times New Roman" w:cs="Times New Roman"/>
          <w:sz w:val="28"/>
          <w:szCs w:val="28"/>
        </w:rPr>
        <w:t xml:space="preserve">Полагаем, что ни кредиторы (иные лица, участвующие в деле), ни должник не заинтересованы в создании Палаты антикризисных управляющих, </w:t>
      </w:r>
      <w:r w:rsidRPr="00D05510">
        <w:rPr>
          <w:rFonts w:ascii="Times New Roman" w:hAnsi="Times New Roman" w:cs="Times New Roman"/>
          <w:sz w:val="28"/>
          <w:szCs w:val="28"/>
        </w:rPr>
        <w:lastRenderedPageBreak/>
        <w:t>в руководящие органы которой будут входить управляющие, к которым, возможно, будут серьезные претензии в части проведения процедур банкротства, но которые будут защищены разработанными Палатой антикризисных управляющих методическими рекомендациями.</w:t>
      </w:r>
      <w:proofErr w:type="gramEnd"/>
      <w:r w:rsidRPr="00D05510">
        <w:rPr>
          <w:rFonts w:ascii="Times New Roman" w:hAnsi="Times New Roman" w:cs="Times New Roman"/>
          <w:sz w:val="28"/>
          <w:szCs w:val="28"/>
        </w:rPr>
        <w:t xml:space="preserve"> Это также увеличивает коррупционные риски.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Например, опыт Российской Федерации, где установлено обязательное членство антикризисных управляющих при проведении процедур банкротства, не свидетельствует о положительных результатах, вытекающих из обязательного членства в саморегулируемой организации.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В отличие от законодательства Российской Федерации, законодательством о банкротстве большинства зарубежных стран (США, ФРГ, Франция, Италия, Бельгия и т.д.) создание организаций лиц, персонифицирующих функции арбитражного управления, и обязательное участие в них не предусмотрено. Членство в профессиональных саморегулируемых организациях, как правило, является добровольным.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По мнению Ассоциации, создание Палаты антикризисных управляющих приведёт к созданию закрытой монополии и, соответственно, к объективным ограничениям реального воздействия на рынок в данной конкретной сфере деятельности.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С учётом того, что к управляющему переходит право распоряжения имуществом должника, создание Палаты антикризисных управляющих существенно увеличит коррупционные риски при проведении процедур банкротства.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 xml:space="preserve">Для Республики Беларусь в настоящее время, полагаем, наиболее важным является установление государственных стандартов в сфере проведения процедуры банкротства, нацеленных на воспитание дисциплины и соблюдение правил делового финансового оборота, содействие санации неэффективных предприятий либо цивилизованному выводу их с рынка. 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 xml:space="preserve">Следует отметить, что уполномоченные органы Республики Беларусь значительно отстают от уполномоченных органов развитых стран. Законодательство о банкротстве нашей страны отличается </w:t>
      </w:r>
      <w:proofErr w:type="gramStart"/>
      <w:r w:rsidRPr="00D05510">
        <w:rPr>
          <w:rFonts w:ascii="Times New Roman" w:hAnsi="Times New Roman" w:cs="Times New Roman"/>
          <w:sz w:val="28"/>
          <w:szCs w:val="28"/>
        </w:rPr>
        <w:t>от законодательства стран с развитой рыночной экономикой в сторону меньшей гибкости по отношению к банкроту</w:t>
      </w:r>
      <w:proofErr w:type="gramEnd"/>
      <w:r w:rsidRPr="00D05510">
        <w:rPr>
          <w:rFonts w:ascii="Times New Roman" w:hAnsi="Times New Roman" w:cs="Times New Roman"/>
          <w:sz w:val="28"/>
          <w:szCs w:val="28"/>
        </w:rPr>
        <w:t xml:space="preserve"> и управляющему, что подтверждают данные по делам о банкротстве. Это обусловлено «молодостью» существующей процедуры.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Государство, в лице уполномоченного органа, вместо создания Палаты антикризисных управляющих должно, как указано выше, обеспечить государственные стандарты при проведении процедуры банкротства, в том числе более активно (как это предусмотрено, например, в Великобритании, США, Швеции и т.п.):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-   представлять разъяснения по вопросам применения законодательства о банкротстве;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lastRenderedPageBreak/>
        <w:t>- консультировать государственных служащих, судей, юристов, специалистов по банкротству;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-   проводить экспертизу дел о банкротстве;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- обеспечивать защиту интересов малых групп кредиторов при осуществлении процедуры банкротства;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- осуществлять контроль соблюдения профессиональных и этических стандартов деятельности специалистов по банкротству;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- разработать и контролировать соблюдение шкалы и правил вознаграждения антикризисных управляющих.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 xml:space="preserve">Следует учитывать, что процедура банкротства в стране реально существует 20 лет, и у нас отсутствуют давние традиции деятельности всех лиц, участвующих в деле о банкротстве, в том числе и управляющих. 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Регулятором не принят во внимание международный опыт в области несостоятельности (банкротства), при разработке Проекта необходимо руководствоваться «Принципами для практиков по вопросам несостоятельности с целью оказания помощи национальным политикам, стремящимся создать или усилить регулирование несостоятельности в их юрисдикциях», разработанными Международной Ассоциацией органов регулирования несостоятельности (далее - Международная Ассоциация).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Pr="00D05510"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 w:rsidRPr="00D05510">
        <w:rPr>
          <w:rFonts w:ascii="Times New Roman" w:hAnsi="Times New Roman" w:cs="Times New Roman"/>
          <w:sz w:val="28"/>
          <w:szCs w:val="28"/>
        </w:rPr>
        <w:t xml:space="preserve"> Ассоциации, вопрос создания саморегулируемой организации (Палаты) должен быть тщательно разработан, чтобы реагировать и соотноситься с конкретными культурными, экономическими и институциональными условиями своей юрисдикции. К плюсам саморегулируемой организации (Палаты), по мнению </w:t>
      </w:r>
      <w:proofErr w:type="gramStart"/>
      <w:r w:rsidRPr="00D05510"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 w:rsidRPr="00D05510">
        <w:rPr>
          <w:rFonts w:ascii="Times New Roman" w:hAnsi="Times New Roman" w:cs="Times New Roman"/>
          <w:sz w:val="28"/>
          <w:szCs w:val="28"/>
        </w:rPr>
        <w:t xml:space="preserve"> Ассоциации, относятся: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возможность ссылаться на экспертизу и технические знания в разработке и внесении изменений в нормативные акты;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обладание большей терпимостью к изменениям в нормативные акты;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 xml:space="preserve">уменьшение затрат на соблюдение требований по капитализации на более высоком уровне доверия между </w:t>
      </w:r>
      <w:proofErr w:type="gramStart"/>
      <w:r w:rsidRPr="00D05510">
        <w:rPr>
          <w:rFonts w:ascii="Times New Roman" w:hAnsi="Times New Roman" w:cs="Times New Roman"/>
          <w:sz w:val="28"/>
          <w:szCs w:val="28"/>
        </w:rPr>
        <w:t>регулирующими</w:t>
      </w:r>
      <w:proofErr w:type="gramEnd"/>
      <w:r w:rsidRPr="00D05510">
        <w:rPr>
          <w:rFonts w:ascii="Times New Roman" w:hAnsi="Times New Roman" w:cs="Times New Roman"/>
          <w:sz w:val="28"/>
          <w:szCs w:val="28"/>
        </w:rPr>
        <w:t xml:space="preserve"> и тем, кого регулируют.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Минусами саморегулируемой организации (Палаты) являются следующие: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управляющие становятся менее открытыми для внешнего контроля и отчетности;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 xml:space="preserve">существует большая вероятность принятия старых стандартов; 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появляется меньше шансов найти нарушения у практикующих управляющих;</w:t>
      </w:r>
    </w:p>
    <w:p w:rsidR="00D05510" w:rsidRP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>уменьшается вероятность вводить жёсткие санкции должным образом в отношении управляющих.</w:t>
      </w:r>
    </w:p>
    <w:p w:rsidR="00D05510" w:rsidRDefault="00D05510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0">
        <w:rPr>
          <w:rFonts w:ascii="Times New Roman" w:hAnsi="Times New Roman" w:cs="Times New Roman"/>
          <w:sz w:val="28"/>
          <w:szCs w:val="28"/>
        </w:rPr>
        <w:t xml:space="preserve">С учетом принципов, установленных Международной Ассоциации, а также плюсов и минусов, указанных выше, считаем, что процедура будет тогда эффективная, когда </w:t>
      </w:r>
      <w:proofErr w:type="gramStart"/>
      <w:r w:rsidRPr="00D055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5510">
        <w:rPr>
          <w:rFonts w:ascii="Times New Roman" w:hAnsi="Times New Roman" w:cs="Times New Roman"/>
          <w:sz w:val="28"/>
          <w:szCs w:val="28"/>
        </w:rPr>
        <w:t xml:space="preserve"> деятельностью управляющих будет возложен на орган государственного управления, суд, а также кредиторов (должника). В свою очередь, </w:t>
      </w:r>
      <w:proofErr w:type="gramStart"/>
      <w:r w:rsidRPr="00D05510">
        <w:rPr>
          <w:rFonts w:ascii="Times New Roman" w:hAnsi="Times New Roman" w:cs="Times New Roman"/>
          <w:sz w:val="28"/>
          <w:szCs w:val="28"/>
        </w:rPr>
        <w:t>бизнес-ассоциации</w:t>
      </w:r>
      <w:proofErr w:type="gramEnd"/>
      <w:r w:rsidRPr="00D05510">
        <w:rPr>
          <w:rFonts w:ascii="Times New Roman" w:hAnsi="Times New Roman" w:cs="Times New Roman"/>
          <w:sz w:val="28"/>
          <w:szCs w:val="28"/>
        </w:rPr>
        <w:t xml:space="preserve"> должны привлекаться </w:t>
      </w:r>
      <w:r w:rsidRPr="00D05510">
        <w:rPr>
          <w:rFonts w:ascii="Times New Roman" w:hAnsi="Times New Roman" w:cs="Times New Roman"/>
          <w:sz w:val="28"/>
          <w:szCs w:val="28"/>
        </w:rPr>
        <w:lastRenderedPageBreak/>
        <w:t>государственным органом для участия в процессах создания, разработки стандартов деятельности управляющих. Это обеспечит прозрачность и открытость проведения процедуры банкротства.</w:t>
      </w:r>
    </w:p>
    <w:p w:rsidR="000B6979" w:rsidRDefault="000B6979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979" w:rsidRDefault="000B6979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979" w:rsidRPr="00EB5F93" w:rsidRDefault="000B6979" w:rsidP="000B6979">
      <w:pPr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0B6979" w:rsidRPr="00EB5F93" w:rsidRDefault="000B6979" w:rsidP="000B6979">
      <w:pPr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Председатель Ассоциации Антикризисных Управляющих    </w:t>
      </w:r>
    </w:p>
    <w:p w:rsidR="000B6979" w:rsidRPr="00EB5F93" w:rsidRDefault="000B6979" w:rsidP="000B6979">
      <w:pPr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Руководитель экспертной группы международной антикоррупционной сети </w:t>
      </w:r>
      <w:r w:rsidRPr="00EB5F93">
        <w:rPr>
          <w:rFonts w:ascii="Times New Roman" w:hAnsi="Times New Roman" w:cs="Times New Roman"/>
          <w:sz w:val="28"/>
          <w:szCs w:val="28"/>
          <w:lang w:val="en-US"/>
        </w:rPr>
        <w:t>Transparency</w:t>
      </w:r>
      <w:r w:rsidRPr="00EB5F93">
        <w:rPr>
          <w:rFonts w:ascii="Times New Roman" w:hAnsi="Times New Roman" w:cs="Times New Roman"/>
          <w:sz w:val="28"/>
          <w:szCs w:val="28"/>
        </w:rPr>
        <w:t xml:space="preserve"> </w:t>
      </w:r>
      <w:r w:rsidRPr="00EB5F93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EB5F93">
        <w:rPr>
          <w:rFonts w:ascii="Times New Roman" w:hAnsi="Times New Roman" w:cs="Times New Roman"/>
          <w:sz w:val="28"/>
          <w:szCs w:val="28"/>
        </w:rPr>
        <w:t xml:space="preserve"> в Республике Беларусь</w:t>
      </w:r>
    </w:p>
    <w:p w:rsidR="000B6979" w:rsidRPr="00EB5F93" w:rsidRDefault="000B6979" w:rsidP="000B6979">
      <w:pPr>
        <w:rPr>
          <w:rFonts w:ascii="Times New Roman" w:hAnsi="Times New Roman" w:cs="Times New Roman"/>
          <w:sz w:val="28"/>
          <w:szCs w:val="28"/>
        </w:rPr>
      </w:pPr>
    </w:p>
    <w:p w:rsidR="000B6979" w:rsidRPr="00EB5F93" w:rsidRDefault="000B6979" w:rsidP="000B6979">
      <w:pPr>
        <w:rPr>
          <w:rFonts w:ascii="Times New Roman" w:hAnsi="Times New Roman" w:cs="Times New Roman"/>
          <w:sz w:val="28"/>
          <w:szCs w:val="28"/>
        </w:rPr>
      </w:pPr>
    </w:p>
    <w:p w:rsidR="000B6979" w:rsidRPr="00EB5F93" w:rsidRDefault="000B6979" w:rsidP="000B6979">
      <w:pPr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О.А.</w:t>
      </w:r>
      <w:r w:rsidR="005F0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F93">
        <w:rPr>
          <w:rFonts w:ascii="Times New Roman" w:hAnsi="Times New Roman" w:cs="Times New Roman"/>
          <w:sz w:val="28"/>
          <w:szCs w:val="28"/>
        </w:rPr>
        <w:t>Дребезова</w:t>
      </w:r>
      <w:proofErr w:type="spellEnd"/>
      <w:r w:rsidRPr="00EB5F9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6979" w:rsidRPr="00EB5F93" w:rsidRDefault="000B6979" w:rsidP="000B6979">
      <w:pPr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+375 29 8205756</w:t>
      </w:r>
    </w:p>
    <w:p w:rsidR="000B6979" w:rsidRPr="00EB5F93" w:rsidRDefault="000B6979" w:rsidP="000B6979">
      <w:pPr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+375 29 6197125</w:t>
      </w:r>
    </w:p>
    <w:p w:rsidR="000B6979" w:rsidRPr="000B6979" w:rsidRDefault="005F0B1E" w:rsidP="000B697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B6979" w:rsidRPr="000B69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aau</w:t>
        </w:r>
        <w:r w:rsidR="000B6979" w:rsidRPr="000B69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B6979" w:rsidRPr="000B69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belarus</w:t>
        </w:r>
        <w:r w:rsidR="000B6979" w:rsidRPr="000B69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0B6979" w:rsidRPr="000B69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="000B6979" w:rsidRPr="000B69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B6979" w:rsidRPr="000B69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</w:p>
    <w:p w:rsidR="000B6979" w:rsidRPr="000B6979" w:rsidRDefault="005F0B1E" w:rsidP="000B697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0B6979" w:rsidRPr="000B69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</w:t>
        </w:r>
        <w:r w:rsidR="000B6979" w:rsidRPr="000B69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B6979" w:rsidRPr="000B69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</w:t>
        </w:r>
        <w:r w:rsidR="000B6979" w:rsidRPr="000B69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B6979" w:rsidRPr="000B69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drebezova</w:t>
        </w:r>
        <w:r w:rsidR="000B6979" w:rsidRPr="000B69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0B6979" w:rsidRPr="000B69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0B6979" w:rsidRPr="000B69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6979" w:rsidRPr="000B69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6979" w:rsidRPr="000B6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979" w:rsidRPr="00D05510" w:rsidRDefault="000B6979" w:rsidP="00D05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6979" w:rsidRPr="00D05510" w:rsidSect="00A63626">
      <w:headerReference w:type="default" r:id="rId11"/>
      <w:pgSz w:w="11906" w:h="16838"/>
      <w:pgMar w:top="851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10" w:rsidRDefault="00D05510" w:rsidP="00CE1E5B">
      <w:r>
        <w:separator/>
      </w:r>
    </w:p>
  </w:endnote>
  <w:endnote w:type="continuationSeparator" w:id="0">
    <w:p w:rsidR="00D05510" w:rsidRDefault="00D05510" w:rsidP="00CE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10" w:rsidRDefault="00D05510" w:rsidP="00CE1E5B">
      <w:r>
        <w:separator/>
      </w:r>
    </w:p>
  </w:footnote>
  <w:footnote w:type="continuationSeparator" w:id="0">
    <w:p w:rsidR="00D05510" w:rsidRDefault="00D05510" w:rsidP="00CE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852040"/>
      <w:docPartObj>
        <w:docPartGallery w:val="Page Numbers (Top of Page)"/>
        <w:docPartUnique/>
      </w:docPartObj>
    </w:sdtPr>
    <w:sdtEndPr/>
    <w:sdtContent>
      <w:p w:rsidR="00D05510" w:rsidRDefault="00D055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B1E">
          <w:rPr>
            <w:noProof/>
          </w:rPr>
          <w:t>2</w:t>
        </w:r>
        <w:r>
          <w:fldChar w:fldCharType="end"/>
        </w:r>
      </w:p>
    </w:sdtContent>
  </w:sdt>
  <w:p w:rsidR="00D05510" w:rsidRDefault="00D055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3754"/>
    <w:multiLevelType w:val="hybridMultilevel"/>
    <w:tmpl w:val="2438C30E"/>
    <w:lvl w:ilvl="0" w:tplc="D7D0C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5B6F20"/>
    <w:multiLevelType w:val="multilevel"/>
    <w:tmpl w:val="CF3CC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79"/>
    <w:rsid w:val="00006A64"/>
    <w:rsid w:val="000162C7"/>
    <w:rsid w:val="0002577E"/>
    <w:rsid w:val="00033D15"/>
    <w:rsid w:val="00041788"/>
    <w:rsid w:val="00042B8F"/>
    <w:rsid w:val="00077A9F"/>
    <w:rsid w:val="00077FC4"/>
    <w:rsid w:val="00093D6C"/>
    <w:rsid w:val="000B6979"/>
    <w:rsid w:val="000C2D2E"/>
    <w:rsid w:val="00103A6F"/>
    <w:rsid w:val="001272DF"/>
    <w:rsid w:val="00176262"/>
    <w:rsid w:val="001910ED"/>
    <w:rsid w:val="001B5312"/>
    <w:rsid w:val="001D7F9B"/>
    <w:rsid w:val="001E307E"/>
    <w:rsid w:val="001F27AA"/>
    <w:rsid w:val="001F590E"/>
    <w:rsid w:val="00235B1F"/>
    <w:rsid w:val="00254508"/>
    <w:rsid w:val="002A715C"/>
    <w:rsid w:val="002B4D5A"/>
    <w:rsid w:val="002E0592"/>
    <w:rsid w:val="00340BDF"/>
    <w:rsid w:val="00354D79"/>
    <w:rsid w:val="00356827"/>
    <w:rsid w:val="003960D2"/>
    <w:rsid w:val="00440A45"/>
    <w:rsid w:val="0048441E"/>
    <w:rsid w:val="004A2DD3"/>
    <w:rsid w:val="004A5DDA"/>
    <w:rsid w:val="004A69F6"/>
    <w:rsid w:val="004D29E9"/>
    <w:rsid w:val="004E1F59"/>
    <w:rsid w:val="00525B69"/>
    <w:rsid w:val="005265DE"/>
    <w:rsid w:val="005C0789"/>
    <w:rsid w:val="005F0B1E"/>
    <w:rsid w:val="00614FCF"/>
    <w:rsid w:val="00615119"/>
    <w:rsid w:val="00664791"/>
    <w:rsid w:val="006B0CC6"/>
    <w:rsid w:val="006C6124"/>
    <w:rsid w:val="006E1B27"/>
    <w:rsid w:val="006E6ED8"/>
    <w:rsid w:val="006F4296"/>
    <w:rsid w:val="006F546A"/>
    <w:rsid w:val="0070275E"/>
    <w:rsid w:val="00715AF0"/>
    <w:rsid w:val="00730BE8"/>
    <w:rsid w:val="00731BEC"/>
    <w:rsid w:val="00736541"/>
    <w:rsid w:val="00754A18"/>
    <w:rsid w:val="00755D54"/>
    <w:rsid w:val="007B667E"/>
    <w:rsid w:val="007D16CE"/>
    <w:rsid w:val="007D799B"/>
    <w:rsid w:val="00867E7E"/>
    <w:rsid w:val="00890323"/>
    <w:rsid w:val="008F1F2C"/>
    <w:rsid w:val="00957E3A"/>
    <w:rsid w:val="0097302A"/>
    <w:rsid w:val="00975329"/>
    <w:rsid w:val="00980305"/>
    <w:rsid w:val="0099449C"/>
    <w:rsid w:val="00A04CD2"/>
    <w:rsid w:val="00A13AC8"/>
    <w:rsid w:val="00A307A1"/>
    <w:rsid w:val="00A400D2"/>
    <w:rsid w:val="00A41484"/>
    <w:rsid w:val="00A45E59"/>
    <w:rsid w:val="00A513C2"/>
    <w:rsid w:val="00A568E3"/>
    <w:rsid w:val="00A631EB"/>
    <w:rsid w:val="00A63626"/>
    <w:rsid w:val="00A660D6"/>
    <w:rsid w:val="00A70407"/>
    <w:rsid w:val="00A933D7"/>
    <w:rsid w:val="00B017B3"/>
    <w:rsid w:val="00B474A0"/>
    <w:rsid w:val="00B6799C"/>
    <w:rsid w:val="00B74E1C"/>
    <w:rsid w:val="00B81889"/>
    <w:rsid w:val="00BA16AF"/>
    <w:rsid w:val="00BB33EE"/>
    <w:rsid w:val="00BB3AB7"/>
    <w:rsid w:val="00BB459C"/>
    <w:rsid w:val="00BD755F"/>
    <w:rsid w:val="00BE2162"/>
    <w:rsid w:val="00C06CF6"/>
    <w:rsid w:val="00C1122C"/>
    <w:rsid w:val="00C30FF9"/>
    <w:rsid w:val="00C44AC4"/>
    <w:rsid w:val="00C721C4"/>
    <w:rsid w:val="00CC5584"/>
    <w:rsid w:val="00CD15FF"/>
    <w:rsid w:val="00CD1C3F"/>
    <w:rsid w:val="00CE1E5B"/>
    <w:rsid w:val="00D05510"/>
    <w:rsid w:val="00D6611B"/>
    <w:rsid w:val="00D676F8"/>
    <w:rsid w:val="00DB50F2"/>
    <w:rsid w:val="00DB6ED7"/>
    <w:rsid w:val="00DE410E"/>
    <w:rsid w:val="00E05063"/>
    <w:rsid w:val="00E51FB2"/>
    <w:rsid w:val="00E62DC2"/>
    <w:rsid w:val="00E6737C"/>
    <w:rsid w:val="00E96A53"/>
    <w:rsid w:val="00EB5F93"/>
    <w:rsid w:val="00EC2057"/>
    <w:rsid w:val="00EC6FD9"/>
    <w:rsid w:val="00ED735F"/>
    <w:rsid w:val="00F01445"/>
    <w:rsid w:val="00F4716B"/>
    <w:rsid w:val="00F87772"/>
    <w:rsid w:val="00F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7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6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6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1E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1E5B"/>
  </w:style>
  <w:style w:type="paragraph" w:styleId="a8">
    <w:name w:val="footer"/>
    <w:basedOn w:val="a"/>
    <w:link w:val="a9"/>
    <w:uiPriority w:val="99"/>
    <w:unhideWhenUsed/>
    <w:rsid w:val="00CE1E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1E5B"/>
  </w:style>
  <w:style w:type="paragraph" w:styleId="aa">
    <w:name w:val="List Paragraph"/>
    <w:basedOn w:val="a"/>
    <w:uiPriority w:val="34"/>
    <w:qFormat/>
    <w:rsid w:val="001F27AA"/>
    <w:pPr>
      <w:ind w:left="720"/>
      <w:contextualSpacing/>
    </w:pPr>
  </w:style>
  <w:style w:type="paragraph" w:customStyle="1" w:styleId="j17">
    <w:name w:val="j17"/>
    <w:basedOn w:val="a"/>
    <w:rsid w:val="009944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99449C"/>
  </w:style>
  <w:style w:type="paragraph" w:customStyle="1" w:styleId="ConsPlusNormal">
    <w:name w:val="ConsPlusNormal"/>
    <w:link w:val="ConsPlusNormal0"/>
    <w:rsid w:val="008F1F2C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F1F2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04C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4CD2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zvds">
    <w:name w:val="xzvds"/>
    <w:basedOn w:val="a"/>
    <w:rsid w:val="006E1B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E1B27"/>
    <w:rPr>
      <w:b/>
      <w:bCs/>
    </w:rPr>
  </w:style>
  <w:style w:type="character" w:styleId="ac">
    <w:name w:val="Emphasis"/>
    <w:basedOn w:val="a0"/>
    <w:uiPriority w:val="20"/>
    <w:qFormat/>
    <w:rsid w:val="006E1B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7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6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6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1E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1E5B"/>
  </w:style>
  <w:style w:type="paragraph" w:styleId="a8">
    <w:name w:val="footer"/>
    <w:basedOn w:val="a"/>
    <w:link w:val="a9"/>
    <w:uiPriority w:val="99"/>
    <w:unhideWhenUsed/>
    <w:rsid w:val="00CE1E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1E5B"/>
  </w:style>
  <w:style w:type="paragraph" w:styleId="aa">
    <w:name w:val="List Paragraph"/>
    <w:basedOn w:val="a"/>
    <w:uiPriority w:val="34"/>
    <w:qFormat/>
    <w:rsid w:val="001F27AA"/>
    <w:pPr>
      <w:ind w:left="720"/>
      <w:contextualSpacing/>
    </w:pPr>
  </w:style>
  <w:style w:type="paragraph" w:customStyle="1" w:styleId="j17">
    <w:name w:val="j17"/>
    <w:basedOn w:val="a"/>
    <w:rsid w:val="009944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99449C"/>
  </w:style>
  <w:style w:type="paragraph" w:customStyle="1" w:styleId="ConsPlusNormal">
    <w:name w:val="ConsPlusNormal"/>
    <w:link w:val="ConsPlusNormal0"/>
    <w:rsid w:val="008F1F2C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F1F2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04C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4CD2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zvds">
    <w:name w:val="xzvds"/>
    <w:basedOn w:val="a"/>
    <w:rsid w:val="006E1B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E1B27"/>
    <w:rPr>
      <w:b/>
      <w:bCs/>
    </w:rPr>
  </w:style>
  <w:style w:type="character" w:styleId="ac">
    <w:name w:val="Emphasis"/>
    <w:basedOn w:val="a0"/>
    <w:uiPriority w:val="20"/>
    <w:qFormat/>
    <w:rsid w:val="006E1B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u.belaru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.a.drebez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u.belar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20999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DDD</dc:creator>
  <cp:lastModifiedBy>DP2</cp:lastModifiedBy>
  <cp:revision>6</cp:revision>
  <cp:lastPrinted>2020-07-23T12:03:00Z</cp:lastPrinted>
  <dcterms:created xsi:type="dcterms:W3CDTF">2020-07-23T11:39:00Z</dcterms:created>
  <dcterms:modified xsi:type="dcterms:W3CDTF">2020-10-19T10:32:00Z</dcterms:modified>
</cp:coreProperties>
</file>